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39"/>
        </w:tabs>
        <w:jc w:val="center"/>
        <w:rPr>
          <w:rFonts w:hint="eastAsia" w:ascii="隶书" w:eastAsia="隶书"/>
          <w:b/>
          <w:bCs/>
          <w:color w:val="auto"/>
          <w:spacing w:val="-4"/>
          <w:sz w:val="84"/>
          <w:szCs w:val="84"/>
          <w:highlight w:val="none"/>
        </w:rPr>
      </w:pPr>
    </w:p>
    <w:p>
      <w:pPr>
        <w:tabs>
          <w:tab w:val="left" w:pos="1339"/>
        </w:tabs>
        <w:jc w:val="center"/>
        <w:rPr>
          <w:rFonts w:hint="eastAsia" w:ascii="隶书" w:eastAsia="隶书"/>
          <w:b/>
          <w:bCs/>
          <w:color w:val="auto"/>
          <w:spacing w:val="-4"/>
          <w:sz w:val="84"/>
          <w:szCs w:val="84"/>
          <w:highlight w:val="none"/>
        </w:rPr>
      </w:pPr>
    </w:p>
    <w:p>
      <w:pPr>
        <w:tabs>
          <w:tab w:val="left" w:pos="1339"/>
        </w:tabs>
        <w:jc w:val="center"/>
        <w:rPr>
          <w:rFonts w:hint="eastAsia" w:ascii="隶书" w:eastAsia="隶书"/>
          <w:b/>
          <w:bCs/>
          <w:color w:val="auto"/>
          <w:spacing w:val="-4"/>
          <w:sz w:val="84"/>
          <w:szCs w:val="84"/>
          <w:highlight w:val="none"/>
        </w:rPr>
      </w:pPr>
    </w:p>
    <w:p>
      <w:pPr>
        <w:tabs>
          <w:tab w:val="left" w:pos="1339"/>
        </w:tabs>
        <w:jc w:val="center"/>
        <w:rPr>
          <w:rFonts w:hint="eastAsia" w:ascii="隶书" w:eastAsia="隶书"/>
          <w:b/>
          <w:bCs/>
          <w:color w:val="auto"/>
          <w:spacing w:val="-4"/>
          <w:sz w:val="84"/>
          <w:szCs w:val="84"/>
          <w:highlight w:val="none"/>
        </w:rPr>
      </w:pPr>
    </w:p>
    <w:p>
      <w:pPr>
        <w:tabs>
          <w:tab w:val="left" w:pos="1339"/>
        </w:tabs>
        <w:jc w:val="center"/>
        <w:rPr>
          <w:rFonts w:hint="eastAsia" w:ascii="方正小标宋简体" w:hAnsi="华文中宋" w:eastAsia="方正小标宋简体"/>
          <w:bCs/>
          <w:color w:val="auto"/>
          <w:spacing w:val="-4"/>
          <w:sz w:val="56"/>
          <w:szCs w:val="72"/>
          <w:highlight w:val="none"/>
          <w:lang w:val="en-US" w:eastAsia="zh-CN"/>
        </w:rPr>
      </w:pPr>
      <w:r>
        <w:rPr>
          <w:rFonts w:hint="eastAsia" w:ascii="方正小标宋简体" w:hAnsi="华文中宋" w:eastAsia="方正小标宋简体"/>
          <w:bCs/>
          <w:color w:val="auto"/>
          <w:spacing w:val="-4"/>
          <w:sz w:val="56"/>
          <w:szCs w:val="72"/>
          <w:highlight w:val="none"/>
        </w:rPr>
        <w:t>六安市</w:t>
      </w:r>
      <w:r>
        <w:rPr>
          <w:rFonts w:hint="eastAsia" w:ascii="方正小标宋简体" w:hAnsi="华文中宋" w:eastAsia="方正小标宋简体"/>
          <w:bCs/>
          <w:color w:val="auto"/>
          <w:spacing w:val="-4"/>
          <w:sz w:val="56"/>
          <w:szCs w:val="72"/>
          <w:highlight w:val="none"/>
          <w:lang w:eastAsia="zh-CN"/>
        </w:rPr>
        <w:t>重点工程建设管理处</w:t>
      </w:r>
    </w:p>
    <w:p>
      <w:pPr>
        <w:tabs>
          <w:tab w:val="left" w:pos="1339"/>
        </w:tabs>
        <w:jc w:val="center"/>
        <w:rPr>
          <w:rFonts w:hint="eastAsia" w:ascii="方正小标宋简体" w:hAnsi="华文中宋" w:eastAsia="方正小标宋简体"/>
          <w:bCs/>
          <w:color w:val="auto"/>
          <w:spacing w:val="-4"/>
          <w:sz w:val="56"/>
          <w:szCs w:val="72"/>
          <w:highlight w:val="none"/>
          <w:lang w:eastAsia="zh-CN"/>
        </w:rPr>
      </w:pPr>
      <w:r>
        <w:rPr>
          <w:rFonts w:hint="eastAsia" w:ascii="方正小标宋简体" w:hAnsi="华文中宋" w:eastAsia="方正小标宋简体"/>
          <w:bCs/>
          <w:color w:val="auto"/>
          <w:spacing w:val="-4"/>
          <w:sz w:val="56"/>
          <w:szCs w:val="72"/>
          <w:highlight w:val="none"/>
          <w:lang w:eastAsia="zh-CN"/>
        </w:rPr>
        <w:t>202</w:t>
      </w:r>
      <w:r>
        <w:rPr>
          <w:rFonts w:hint="eastAsia" w:ascii="方正小标宋简体" w:hAnsi="华文中宋" w:eastAsia="方正小标宋简体"/>
          <w:bCs/>
          <w:color w:val="auto"/>
          <w:spacing w:val="-4"/>
          <w:sz w:val="56"/>
          <w:szCs w:val="72"/>
          <w:highlight w:val="none"/>
          <w:lang w:val="en-US" w:eastAsia="zh-CN"/>
        </w:rPr>
        <w:t>3</w:t>
      </w:r>
      <w:r>
        <w:rPr>
          <w:rFonts w:hint="eastAsia" w:ascii="方正小标宋简体" w:hAnsi="华文中宋" w:eastAsia="方正小标宋简体"/>
          <w:bCs/>
          <w:color w:val="auto"/>
          <w:spacing w:val="-4"/>
          <w:sz w:val="56"/>
          <w:szCs w:val="72"/>
          <w:highlight w:val="none"/>
        </w:rPr>
        <w:t>年</w:t>
      </w:r>
      <w:r>
        <w:rPr>
          <w:rFonts w:hint="eastAsia" w:ascii="方正小标宋简体" w:hAnsi="华文中宋" w:eastAsia="方正小标宋简体"/>
          <w:bCs/>
          <w:color w:val="auto"/>
          <w:spacing w:val="-4"/>
          <w:sz w:val="56"/>
          <w:szCs w:val="72"/>
          <w:highlight w:val="none"/>
          <w:u w:val="none"/>
          <w:lang w:eastAsia="zh-CN"/>
        </w:rPr>
        <w:t>部门</w:t>
      </w:r>
      <w:r>
        <w:rPr>
          <w:rFonts w:hint="eastAsia" w:ascii="方正小标宋简体" w:hAnsi="华文中宋" w:eastAsia="方正小标宋简体"/>
          <w:bCs/>
          <w:color w:val="auto"/>
          <w:spacing w:val="-4"/>
          <w:sz w:val="56"/>
          <w:szCs w:val="72"/>
          <w:highlight w:val="none"/>
        </w:rPr>
        <w:t>预算</w:t>
      </w:r>
    </w:p>
    <w:p>
      <w:pPr>
        <w:tabs>
          <w:tab w:val="left" w:pos="1339"/>
        </w:tabs>
        <w:rPr>
          <w:rFonts w:hint="eastAsia" w:ascii="黑体" w:eastAsia="黑体"/>
          <w:color w:val="auto"/>
          <w:spacing w:val="-4"/>
          <w:sz w:val="36"/>
          <w:highlight w:val="none"/>
        </w:rPr>
      </w:pPr>
    </w:p>
    <w:p>
      <w:pPr>
        <w:tabs>
          <w:tab w:val="left" w:pos="1339"/>
        </w:tabs>
        <w:rPr>
          <w:rFonts w:hint="eastAsia" w:ascii="黑体" w:eastAsia="黑体"/>
          <w:color w:val="auto"/>
          <w:spacing w:val="-4"/>
          <w:sz w:val="36"/>
          <w:highlight w:val="none"/>
        </w:rPr>
      </w:pPr>
    </w:p>
    <w:p>
      <w:pPr>
        <w:tabs>
          <w:tab w:val="left" w:pos="1339"/>
        </w:tabs>
        <w:rPr>
          <w:rFonts w:hint="eastAsia" w:ascii="黑体" w:eastAsia="黑体"/>
          <w:color w:val="auto"/>
          <w:spacing w:val="-4"/>
          <w:sz w:val="36"/>
          <w:highlight w:val="none"/>
        </w:rPr>
      </w:pPr>
    </w:p>
    <w:p>
      <w:pPr>
        <w:tabs>
          <w:tab w:val="left" w:pos="1339"/>
        </w:tabs>
        <w:rPr>
          <w:rFonts w:hint="eastAsia" w:ascii="黑体" w:eastAsia="黑体"/>
          <w:color w:val="auto"/>
          <w:spacing w:val="-4"/>
          <w:sz w:val="36"/>
          <w:highlight w:val="none"/>
        </w:rPr>
      </w:pPr>
    </w:p>
    <w:p>
      <w:pPr>
        <w:tabs>
          <w:tab w:val="left" w:pos="1339"/>
        </w:tabs>
        <w:rPr>
          <w:rFonts w:hint="eastAsia" w:ascii="黑体" w:eastAsia="黑体"/>
          <w:color w:val="auto"/>
          <w:spacing w:val="-4"/>
          <w:sz w:val="36"/>
          <w:highlight w:val="none"/>
        </w:rPr>
      </w:pPr>
    </w:p>
    <w:p>
      <w:pPr>
        <w:tabs>
          <w:tab w:val="left" w:pos="1339"/>
        </w:tabs>
        <w:jc w:val="center"/>
        <w:rPr>
          <w:rFonts w:hint="eastAsia" w:ascii="华文中宋" w:hAnsi="华文中宋" w:eastAsia="华文中宋"/>
          <w:bCs/>
          <w:color w:val="auto"/>
          <w:spacing w:val="-4"/>
          <w:sz w:val="52"/>
          <w:szCs w:val="52"/>
          <w:highlight w:val="none"/>
        </w:rPr>
      </w:pPr>
    </w:p>
    <w:p>
      <w:pPr>
        <w:jc w:val="both"/>
        <w:rPr>
          <w:rFonts w:hint="eastAsia" w:ascii="方正小标宋简体" w:hAnsi="仿宋" w:eastAsia="方正小标宋简体"/>
          <w:color w:val="auto"/>
          <w:sz w:val="44"/>
          <w:szCs w:val="44"/>
          <w:highlight w:val="none"/>
        </w:rPr>
      </w:pPr>
    </w:p>
    <w:p>
      <w:pPr>
        <w:jc w:val="center"/>
        <w:rPr>
          <w:rFonts w:hint="eastAsia" w:ascii="方正小标宋简体" w:hAnsi="仿宋" w:eastAsia="方正小标宋简体"/>
          <w:color w:val="auto"/>
          <w:sz w:val="44"/>
          <w:szCs w:val="44"/>
          <w:highlight w:val="none"/>
        </w:rPr>
      </w:pPr>
    </w:p>
    <w:p>
      <w:pPr>
        <w:pStyle w:val="5"/>
        <w:widowControl w:val="0"/>
        <w:adjustRightInd w:val="0"/>
        <w:snapToGrid w:val="0"/>
        <w:spacing w:before="0" w:beforeAutospacing="0" w:after="0" w:afterAutospacing="0" w:line="360" w:lineRule="auto"/>
        <w:jc w:val="both"/>
        <w:outlineLvl w:val="0"/>
        <w:rPr>
          <w:rFonts w:ascii="Times New Roman" w:hAnsi="Times New Roman" w:eastAsia="黑体" w:cs="Times New Roman"/>
          <w:bCs/>
          <w:color w:val="000000" w:themeColor="text1"/>
          <w:sz w:val="36"/>
          <w:szCs w:val="36"/>
          <w:highlight w:val="none"/>
          <w14:textFill>
            <w14:solidFill>
              <w14:schemeClr w14:val="tx1"/>
            </w14:solidFill>
          </w14:textFill>
        </w:rPr>
      </w:pPr>
    </w:p>
    <w:p>
      <w:pPr>
        <w:spacing w:line="44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r>
        <w:rPr>
          <w:rFonts w:ascii="Times New Roman" w:hAnsi="Times New Roman" w:eastAsia="方正小标宋简体"/>
          <w:color w:val="000000" w:themeColor="text1"/>
          <w:sz w:val="44"/>
          <w:szCs w:val="44"/>
          <w:highlight w:val="none"/>
          <w14:textFill>
            <w14:solidFill>
              <w14:schemeClr w14:val="tx1"/>
            </w14:solidFill>
          </w14:textFill>
        </w:rPr>
        <w:t>目    录</w:t>
      </w:r>
    </w:p>
    <w:p>
      <w:pPr>
        <w:spacing w:line="44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p>
    <w:p>
      <w:pPr>
        <w:spacing w:before="156" w:beforeLines="50" w:line="560" w:lineRule="exact"/>
        <w:ind w:firstLine="565" w:firstLineChars="176"/>
        <w:jc w:val="left"/>
        <w:rPr>
          <w:rFonts w:ascii="Times New Roman" w:hAnsi="Times New Roman" w:eastAsia="仿宋_GB2312"/>
          <w:b/>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第一部分</w:t>
      </w:r>
      <w:r>
        <w:rPr>
          <w:rFonts w:hint="eastAsia" w:ascii="Times New Roman" w:hAnsi="Times New Roman" w:eastAsia="仿宋_GB2312"/>
          <w:b/>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b/>
          <w:color w:val="000000" w:themeColor="text1"/>
          <w:sz w:val="32"/>
          <w:szCs w:val="32"/>
          <w:highlight w:val="none"/>
          <w:u w:val="none"/>
          <w:lang w:eastAsia="zh-CN"/>
          <w14:textFill>
            <w14:solidFill>
              <w14:schemeClr w14:val="tx1"/>
            </w14:solidFill>
          </w14:textFill>
        </w:rPr>
        <w:t>部门</w:t>
      </w:r>
      <w:r>
        <w:rPr>
          <w:rFonts w:ascii="Times New Roman" w:hAnsi="Times New Roman" w:eastAsia="仿宋_GB2312"/>
          <w:b/>
          <w:color w:val="000000" w:themeColor="text1"/>
          <w:sz w:val="32"/>
          <w:szCs w:val="32"/>
          <w:highlight w:val="none"/>
          <w14:textFill>
            <w14:solidFill>
              <w14:schemeClr w14:val="tx1"/>
            </w14:solidFill>
          </w14:textFill>
        </w:rPr>
        <w:t>概况</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主要</w:t>
      </w:r>
      <w:r>
        <w:rPr>
          <w:rFonts w:ascii="Times New Roman" w:hAnsi="Times New Roman" w:eastAsia="仿宋_GB2312"/>
          <w:color w:val="000000" w:themeColor="text1"/>
          <w:sz w:val="32"/>
          <w:szCs w:val="32"/>
          <w:highlight w:val="none"/>
          <w14:textFill>
            <w14:solidFill>
              <w14:schemeClr w14:val="tx1"/>
            </w14:solidFill>
          </w14:textFill>
        </w:rPr>
        <w:t>职责</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2.</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部门</w:t>
      </w:r>
      <w:r>
        <w:rPr>
          <w:rFonts w:ascii="Times New Roman" w:hAnsi="Times New Roman" w:eastAsia="仿宋_GB2312"/>
          <w:color w:val="000000" w:themeColor="text1"/>
          <w:sz w:val="32"/>
          <w:szCs w:val="32"/>
          <w:highlight w:val="none"/>
          <w14:textFill>
            <w14:solidFill>
              <w14:schemeClr w14:val="tx1"/>
            </w14:solidFill>
          </w14:textFill>
        </w:rPr>
        <w:t>预算构成</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3.</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年</w:t>
      </w:r>
      <w:r>
        <w:rPr>
          <w:rFonts w:ascii="Times New Roman" w:hAnsi="Times New Roman" w:eastAsia="仿宋_GB2312"/>
          <w:color w:val="000000" w:themeColor="text1"/>
          <w:sz w:val="32"/>
          <w:szCs w:val="32"/>
          <w:highlight w:val="none"/>
          <w14:textFill>
            <w14:solidFill>
              <w14:schemeClr w14:val="tx1"/>
            </w14:solidFill>
          </w14:textFill>
        </w:rPr>
        <w:t>度主要工作任务</w:t>
      </w:r>
    </w:p>
    <w:p>
      <w:pPr>
        <w:spacing w:line="560" w:lineRule="exact"/>
        <w:ind w:firstLine="565" w:firstLineChars="176"/>
        <w:jc w:val="left"/>
        <w:rPr>
          <w:rFonts w:ascii="Times New Roman" w:hAnsi="Times New Roman" w:eastAsia="仿宋_GB2312"/>
          <w:b/>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第二部分</w:t>
      </w:r>
      <w:r>
        <w:rPr>
          <w:rFonts w:hint="eastAsia" w:ascii="Times New Roman" w:hAnsi="Times New Roman" w:eastAsia="仿宋_GB2312"/>
          <w:b/>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b/>
          <w:color w:val="000000" w:themeColor="text1"/>
          <w:sz w:val="32"/>
          <w:szCs w:val="32"/>
          <w:highlight w:val="none"/>
          <w:lang w:eastAsia="zh-CN"/>
          <w14:textFill>
            <w14:solidFill>
              <w14:schemeClr w14:val="tx1"/>
            </w14:solidFill>
          </w14:textFill>
        </w:rPr>
        <w:t>202</w:t>
      </w:r>
      <w:r>
        <w:rPr>
          <w:rFonts w:hint="eastAsia" w:ascii="Times New Roman" w:hAnsi="Times New Roman" w:eastAsia="仿宋_GB2312"/>
          <w:b/>
          <w:color w:val="000000" w:themeColor="text1"/>
          <w:sz w:val="32"/>
          <w:szCs w:val="32"/>
          <w:highlight w:val="none"/>
          <w:lang w:val="en-US" w:eastAsia="zh-CN"/>
          <w14:textFill>
            <w14:solidFill>
              <w14:schemeClr w14:val="tx1"/>
            </w14:solidFill>
          </w14:textFill>
        </w:rPr>
        <w:t>3</w:t>
      </w:r>
      <w:r>
        <w:rPr>
          <w:rFonts w:hint="eastAsia" w:ascii="Times New Roman" w:hAnsi="Times New Roman" w:eastAsia="仿宋_GB2312"/>
          <w:b/>
          <w:color w:val="000000" w:themeColor="text1"/>
          <w:sz w:val="32"/>
          <w:szCs w:val="32"/>
          <w:highlight w:val="none"/>
          <w:lang w:eastAsia="zh-CN"/>
          <w14:textFill>
            <w14:solidFill>
              <w14:schemeClr w14:val="tx1"/>
            </w14:solidFill>
          </w14:textFill>
        </w:rPr>
        <w:t>年</w:t>
      </w:r>
      <w:r>
        <w:rPr>
          <w:rFonts w:ascii="Times New Roman" w:hAnsi="Times New Roman" w:eastAsia="仿宋_GB2312"/>
          <w:b/>
          <w:color w:val="000000" w:themeColor="text1"/>
          <w:sz w:val="32"/>
          <w:szCs w:val="32"/>
          <w:highlight w:val="none"/>
          <w14:textFill>
            <w14:solidFill>
              <w14:schemeClr w14:val="tx1"/>
            </w14:solidFill>
          </w14:textFill>
        </w:rPr>
        <w:t>预算</w:t>
      </w:r>
      <w:r>
        <w:rPr>
          <w:rFonts w:hint="eastAsia" w:ascii="Times New Roman" w:hAnsi="Times New Roman" w:eastAsia="仿宋_GB2312"/>
          <w:b/>
          <w:color w:val="000000" w:themeColor="text1"/>
          <w:sz w:val="32"/>
          <w:szCs w:val="32"/>
          <w:highlight w:val="none"/>
          <w14:textFill>
            <w14:solidFill>
              <w14:schemeClr w14:val="tx1"/>
            </w14:solidFill>
          </w14:textFill>
        </w:rPr>
        <w:t>报</w:t>
      </w:r>
      <w:r>
        <w:rPr>
          <w:rFonts w:ascii="Times New Roman" w:hAnsi="Times New Roman" w:eastAsia="仿宋_GB2312"/>
          <w:b/>
          <w:color w:val="000000" w:themeColor="text1"/>
          <w:sz w:val="32"/>
          <w:szCs w:val="32"/>
          <w:highlight w:val="none"/>
          <w14:textFill>
            <w14:solidFill>
              <w14:schemeClr w14:val="tx1"/>
            </w14:solidFill>
          </w14:textFill>
        </w:rPr>
        <w:t>表</w:t>
      </w:r>
    </w:p>
    <w:p>
      <w:pPr>
        <w:spacing w:line="560" w:lineRule="exact"/>
        <w:ind w:firstLine="563" w:firstLineChars="176"/>
        <w:jc w:val="left"/>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收支总表</w:t>
      </w:r>
    </w:p>
    <w:p>
      <w:pPr>
        <w:numPr>
          <w:ilvl w:val="0"/>
          <w:numId w:val="1"/>
        </w:numPr>
        <w:spacing w:line="560" w:lineRule="exact"/>
        <w:ind w:firstLine="563" w:firstLineChars="176"/>
        <w:jc w:val="left"/>
        <w:rPr>
          <w:rFonts w:ascii="Times New Roman" w:hAnsi="Times New Roman" w:eastAsia="仿宋_GB2312"/>
          <w:color w:val="000000" w:themeColor="text1"/>
          <w:sz w:val="32"/>
          <w:szCs w:val="32"/>
          <w:highlight w:val="none"/>
          <w:u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收入总表</w:t>
      </w:r>
    </w:p>
    <w:p>
      <w:pPr>
        <w:numPr>
          <w:ilvl w:val="0"/>
          <w:numId w:val="1"/>
        </w:numPr>
        <w:spacing w:line="560" w:lineRule="exact"/>
        <w:ind w:left="0" w:leftChars="0" w:firstLine="563" w:firstLineChars="176"/>
        <w:jc w:val="left"/>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支出总表</w:t>
      </w:r>
    </w:p>
    <w:p>
      <w:pPr>
        <w:numPr>
          <w:ilvl w:val="0"/>
          <w:numId w:val="1"/>
        </w:numPr>
        <w:spacing w:line="560" w:lineRule="exact"/>
        <w:ind w:left="0" w:leftChars="0" w:firstLine="563" w:firstLineChars="176"/>
        <w:jc w:val="left"/>
        <w:rPr>
          <w:rFonts w:ascii="Times New Roman" w:hAnsi="Times New Roman" w:eastAsia="仿宋_GB2312"/>
          <w:color w:val="000000" w:themeColor="text1"/>
          <w:sz w:val="32"/>
          <w:szCs w:val="32"/>
          <w:highlight w:val="none"/>
          <w:u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财政拨款收支总表</w:t>
      </w:r>
    </w:p>
    <w:p>
      <w:pPr>
        <w:numPr>
          <w:ilvl w:val="0"/>
          <w:numId w:val="1"/>
        </w:numPr>
        <w:spacing w:line="560" w:lineRule="exact"/>
        <w:ind w:left="0" w:leftChars="0" w:firstLine="563" w:firstLineChars="176"/>
        <w:jc w:val="left"/>
        <w:rPr>
          <w:rFonts w:ascii="Times New Roman" w:hAnsi="Times New Roman" w:eastAsia="仿宋_GB2312"/>
          <w:color w:val="000000" w:themeColor="text1"/>
          <w:sz w:val="32"/>
          <w:szCs w:val="32"/>
          <w:highlight w:val="none"/>
          <w:u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一般公共预算支出表</w:t>
      </w:r>
    </w:p>
    <w:p>
      <w:pPr>
        <w:numPr>
          <w:ilvl w:val="0"/>
          <w:numId w:val="1"/>
        </w:numPr>
        <w:spacing w:line="560" w:lineRule="exact"/>
        <w:ind w:left="0" w:leftChars="0" w:firstLine="563" w:firstLineChars="176"/>
        <w:jc w:val="left"/>
        <w:rPr>
          <w:rFonts w:ascii="Times New Roman" w:hAnsi="Times New Roman" w:eastAsia="仿宋_GB2312"/>
          <w:color w:val="000000" w:themeColor="text1"/>
          <w:sz w:val="32"/>
          <w:szCs w:val="32"/>
          <w:highlight w:val="none"/>
          <w:u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一般公共预算基本支出表</w:t>
      </w:r>
    </w:p>
    <w:p>
      <w:pPr>
        <w:numPr>
          <w:ilvl w:val="0"/>
          <w:numId w:val="1"/>
        </w:numPr>
        <w:spacing w:line="560" w:lineRule="exact"/>
        <w:ind w:left="0" w:leftChars="0" w:firstLine="563" w:firstLineChars="176"/>
        <w:jc w:val="left"/>
        <w:rPr>
          <w:rFonts w:ascii="Times New Roman" w:hAnsi="Times New Roman" w:eastAsia="仿宋_GB2312"/>
          <w:color w:val="000000" w:themeColor="text1"/>
          <w:sz w:val="32"/>
          <w:szCs w:val="32"/>
          <w:highlight w:val="none"/>
          <w:u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政府性基金预算支出表</w:t>
      </w:r>
    </w:p>
    <w:p>
      <w:pPr>
        <w:numPr>
          <w:ilvl w:val="0"/>
          <w:numId w:val="1"/>
        </w:numPr>
        <w:spacing w:line="560" w:lineRule="exact"/>
        <w:ind w:left="0" w:leftChars="0" w:firstLine="563" w:firstLineChars="176"/>
        <w:jc w:val="left"/>
        <w:rPr>
          <w:rFonts w:ascii="Times New Roman" w:hAnsi="Times New Roman" w:eastAsia="仿宋_GB2312"/>
          <w:color w:val="000000" w:themeColor="text1"/>
          <w:sz w:val="32"/>
          <w:szCs w:val="32"/>
          <w:highlight w:val="none"/>
          <w:u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国有资本经营预算支出表</w:t>
      </w:r>
    </w:p>
    <w:p>
      <w:pPr>
        <w:spacing w:line="560" w:lineRule="exact"/>
        <w:ind w:firstLine="563" w:firstLineChars="176"/>
        <w:jc w:val="left"/>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9.</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基本支出总表</w:t>
      </w:r>
    </w:p>
    <w:p>
      <w:pPr>
        <w:spacing w:line="560" w:lineRule="exact"/>
        <w:ind w:firstLine="563" w:firstLineChars="176"/>
        <w:jc w:val="left"/>
        <w:rPr>
          <w:rFonts w:ascii="Times New Roman" w:hAnsi="Times New Roman" w:eastAsia="仿宋_GB2312"/>
          <w:color w:val="000000" w:themeColor="text1"/>
          <w:sz w:val="32"/>
          <w:szCs w:val="32"/>
          <w:highlight w:val="none"/>
          <w:u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14:textFill>
            <w14:solidFill>
              <w14:schemeClr w14:val="tx1"/>
            </w14:solidFill>
          </w14:textFill>
        </w:rPr>
        <w:t>10.</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u w:val="none"/>
          <w14:textFill>
            <w14:solidFill>
              <w14:schemeClr w14:val="tx1"/>
            </w14:solidFill>
          </w14:textFill>
        </w:rPr>
        <w:t>项目</w:t>
      </w:r>
      <w:r>
        <w:rPr>
          <w:rFonts w:ascii="Times New Roman" w:hAnsi="Times New Roman" w:eastAsia="仿宋_GB2312"/>
          <w:color w:val="000000" w:themeColor="text1"/>
          <w:sz w:val="32"/>
          <w:szCs w:val="32"/>
          <w:highlight w:val="none"/>
          <w:u w:val="none"/>
          <w14:textFill>
            <w14:solidFill>
              <w14:schemeClr w14:val="tx1"/>
            </w14:solidFill>
          </w14:textFill>
        </w:rPr>
        <w:t>支出总表</w:t>
      </w:r>
    </w:p>
    <w:p>
      <w:pPr>
        <w:spacing w:line="560" w:lineRule="exact"/>
        <w:ind w:firstLine="563" w:firstLineChars="176"/>
        <w:jc w:val="left"/>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1</w:t>
      </w:r>
      <w:r>
        <w:rPr>
          <w:rFonts w:hint="eastAsia" w:ascii="Times New Roman" w:hAnsi="Times New Roman" w:eastAsia="仿宋_GB2312"/>
          <w:color w:val="000000" w:themeColor="text1"/>
          <w:sz w:val="32"/>
          <w:szCs w:val="32"/>
          <w:highlight w:val="none"/>
          <w:u w:val="none"/>
          <w14:textFill>
            <w14:solidFill>
              <w14:schemeClr w14:val="tx1"/>
            </w14:solidFill>
          </w14:textFill>
        </w:rPr>
        <w:t>1</w:t>
      </w:r>
      <w:r>
        <w:rPr>
          <w:rFonts w:ascii="Times New Roman" w:hAnsi="Times New Roman" w:eastAsia="仿宋_GB2312"/>
          <w:color w:val="000000" w:themeColor="text1"/>
          <w:sz w:val="32"/>
          <w:szCs w:val="32"/>
          <w:highlight w:val="none"/>
          <w:u w:val="none"/>
          <w14:textFill>
            <w14:solidFill>
              <w14:schemeClr w14:val="tx1"/>
            </w14:solidFill>
          </w14:textFill>
        </w:rPr>
        <w:t>.</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政府采购支出表</w:t>
      </w:r>
    </w:p>
    <w:p>
      <w:pPr>
        <w:spacing w:line="560" w:lineRule="exact"/>
        <w:ind w:firstLine="563" w:firstLineChars="176"/>
        <w:jc w:val="left"/>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1</w:t>
      </w:r>
      <w:r>
        <w:rPr>
          <w:rFonts w:hint="eastAsia" w:ascii="Times New Roman" w:hAnsi="Times New Roman" w:eastAsia="仿宋_GB2312"/>
          <w:color w:val="000000" w:themeColor="text1"/>
          <w:sz w:val="32"/>
          <w:szCs w:val="32"/>
          <w:highlight w:val="none"/>
          <w:u w:val="none"/>
          <w14:textFill>
            <w14:solidFill>
              <w14:schemeClr w14:val="tx1"/>
            </w14:solidFill>
          </w14:textFill>
        </w:rPr>
        <w:t>2</w:t>
      </w:r>
      <w:r>
        <w:rPr>
          <w:rFonts w:ascii="Times New Roman" w:hAnsi="Times New Roman" w:eastAsia="仿宋_GB2312"/>
          <w:color w:val="000000" w:themeColor="text1"/>
          <w:sz w:val="32"/>
          <w:szCs w:val="32"/>
          <w:highlight w:val="none"/>
          <w:u w:val="none"/>
          <w14:textFill>
            <w14:solidFill>
              <w14:schemeClr w14:val="tx1"/>
            </w14:solidFill>
          </w14:textFill>
        </w:rPr>
        <w:t>.</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政府购买服务支出表</w:t>
      </w:r>
    </w:p>
    <w:p>
      <w:pPr>
        <w:spacing w:line="560" w:lineRule="exact"/>
        <w:ind w:firstLine="563" w:firstLineChars="176"/>
        <w:jc w:val="left"/>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1</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3</w:t>
      </w:r>
      <w:r>
        <w:rPr>
          <w:rFonts w:ascii="Times New Roman" w:hAnsi="Times New Roman" w:eastAsia="仿宋_GB2312"/>
          <w:color w:val="000000" w:themeColor="text1"/>
          <w:sz w:val="32"/>
          <w:szCs w:val="32"/>
          <w:highlight w:val="none"/>
          <w:u w:val="none"/>
          <w14:textFill>
            <w14:solidFill>
              <w14:schemeClr w14:val="tx1"/>
            </w14:solidFill>
          </w14:textFill>
        </w:rPr>
        <w:t>.</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“三公”经费支出预算表</w:t>
      </w:r>
    </w:p>
    <w:p>
      <w:pPr>
        <w:spacing w:line="560" w:lineRule="exact"/>
        <w:ind w:firstLine="563" w:firstLineChars="176"/>
        <w:jc w:val="left"/>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1</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4</w:t>
      </w:r>
      <w:r>
        <w:rPr>
          <w:rFonts w:ascii="Times New Roman" w:hAnsi="Times New Roman" w:eastAsia="仿宋_GB2312"/>
          <w:color w:val="000000" w:themeColor="text1"/>
          <w:sz w:val="32"/>
          <w:szCs w:val="32"/>
          <w:highlight w:val="none"/>
          <w:u w:val="none"/>
          <w14:textFill>
            <w14:solidFill>
              <w14:schemeClr w14:val="tx1"/>
            </w14:solidFill>
          </w14:textFill>
        </w:rPr>
        <w:t>.</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项目支出绩效目标表</w:t>
      </w:r>
    </w:p>
    <w:p>
      <w:pPr>
        <w:spacing w:line="560" w:lineRule="exact"/>
        <w:ind w:firstLine="565" w:firstLineChars="176"/>
        <w:jc w:val="left"/>
        <w:rPr>
          <w:rFonts w:ascii="Times New Roman" w:hAnsi="Times New Roman" w:eastAsia="仿宋_GB2312"/>
          <w:b/>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u w:val="none"/>
          <w14:textFill>
            <w14:solidFill>
              <w14:schemeClr w14:val="tx1"/>
            </w14:solidFill>
          </w14:textFill>
        </w:rPr>
        <w:t>第三部分</w:t>
      </w:r>
      <w:r>
        <w:rPr>
          <w:rFonts w:hint="eastAsia" w:ascii="Times New Roman" w:hAnsi="Times New Roman" w:eastAsia="仿宋_GB2312"/>
          <w:b/>
          <w:color w:val="000000" w:themeColor="text1"/>
          <w:sz w:val="32"/>
          <w:szCs w:val="32"/>
          <w:highlight w:val="none"/>
          <w:u w:val="none"/>
          <w14:textFill>
            <w14:solidFill>
              <w14:schemeClr w14:val="tx1"/>
            </w14:solidFill>
          </w14:textFill>
        </w:rPr>
        <w:t xml:space="preserve">  </w:t>
      </w:r>
      <w:r>
        <w:rPr>
          <w:rFonts w:hint="eastAsia" w:ascii="Times New Roman" w:hAnsi="Times New Roman" w:eastAsia="仿宋_GB2312"/>
          <w:b/>
          <w:color w:val="000000" w:themeColor="text1"/>
          <w:sz w:val="32"/>
          <w:szCs w:val="32"/>
          <w:highlight w:val="none"/>
          <w:u w:val="none"/>
          <w:lang w:eastAsia="zh-CN"/>
          <w14:textFill>
            <w14:solidFill>
              <w14:schemeClr w14:val="tx1"/>
            </w14:solidFill>
          </w14:textFill>
        </w:rPr>
        <w:t>2023年部门</w:t>
      </w:r>
      <w:r>
        <w:rPr>
          <w:rFonts w:ascii="Times New Roman" w:hAnsi="Times New Roman" w:eastAsia="仿宋_GB2312"/>
          <w:b/>
          <w:color w:val="000000" w:themeColor="text1"/>
          <w:sz w:val="32"/>
          <w:szCs w:val="32"/>
          <w:highlight w:val="none"/>
          <w14:textFill>
            <w14:solidFill>
              <w14:schemeClr w14:val="tx1"/>
            </w14:solidFill>
          </w14:textFill>
        </w:rPr>
        <w:t>预算情况说明</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收支总表的说明</w:t>
      </w:r>
    </w:p>
    <w:p>
      <w:pPr>
        <w:spacing w:line="560" w:lineRule="exact"/>
        <w:ind w:firstLine="563" w:firstLineChars="176"/>
        <w:jc w:val="left"/>
        <w:rPr>
          <w:rFonts w:hint="eastAsia"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2.</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收入总表的说明</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3.</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支出总表的说明</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4.</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财政拨款收支总表的说明</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5.</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一般公共预算支出表的说明</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6.</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一般公共预算基本支出表的说明</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7.</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政府性基金预算支出表的说明</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8.</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国有资本经营预算支出表的说明</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9.</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项目支出表的说明</w:t>
      </w:r>
    </w:p>
    <w:p>
      <w:pPr>
        <w:spacing w:line="560" w:lineRule="exact"/>
        <w:ind w:firstLine="563" w:firstLineChars="176"/>
        <w:jc w:val="left"/>
        <w:rPr>
          <w:rFonts w:hint="eastAsia"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政府采购支出表的说明</w:t>
      </w:r>
    </w:p>
    <w:p>
      <w:pPr>
        <w:spacing w:line="560" w:lineRule="exact"/>
        <w:ind w:firstLine="563" w:firstLineChars="176"/>
        <w:jc w:val="left"/>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11.</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政府购买服务支出表的说明</w:t>
      </w:r>
    </w:p>
    <w:p>
      <w:pPr>
        <w:spacing w:line="560" w:lineRule="exact"/>
        <w:ind w:firstLine="563" w:firstLineChars="176"/>
        <w:jc w:val="left"/>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12.关于2023年“三公”经费支出预算情况说明</w:t>
      </w:r>
    </w:p>
    <w:p>
      <w:pPr>
        <w:spacing w:line="560" w:lineRule="exact"/>
        <w:ind w:firstLine="563" w:firstLineChars="176"/>
        <w:jc w:val="left"/>
        <w:rPr>
          <w:rFonts w:hint="default" w:ascii="Times New Roman" w:hAnsi="Times New Roman" w:eastAsia="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13.其他重要事项情况说明</w:t>
      </w:r>
    </w:p>
    <w:p>
      <w:pPr>
        <w:spacing w:line="560" w:lineRule="exact"/>
        <w:ind w:firstLine="565" w:firstLineChars="176"/>
        <w:jc w:val="left"/>
        <w:rPr>
          <w:rFonts w:ascii="Times New Roman" w:hAnsi="Times New Roman" w:eastAsia="仿宋_GB2312"/>
          <w:b/>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第</w:t>
      </w:r>
      <w:r>
        <w:rPr>
          <w:rFonts w:hint="eastAsia" w:ascii="Times New Roman" w:hAnsi="Times New Roman" w:eastAsia="仿宋_GB2312"/>
          <w:b/>
          <w:color w:val="000000" w:themeColor="text1"/>
          <w:sz w:val="32"/>
          <w:szCs w:val="32"/>
          <w:highlight w:val="none"/>
          <w:lang w:eastAsia="zh-CN"/>
          <w14:textFill>
            <w14:solidFill>
              <w14:schemeClr w14:val="tx1"/>
            </w14:solidFill>
          </w14:textFill>
        </w:rPr>
        <w:t>四</w:t>
      </w:r>
      <w:r>
        <w:rPr>
          <w:rFonts w:ascii="Times New Roman" w:hAnsi="Times New Roman" w:eastAsia="仿宋_GB2312"/>
          <w:b/>
          <w:color w:val="000000" w:themeColor="text1"/>
          <w:sz w:val="32"/>
          <w:szCs w:val="32"/>
          <w:highlight w:val="none"/>
          <w14:textFill>
            <w14:solidFill>
              <w14:schemeClr w14:val="tx1"/>
            </w14:solidFill>
          </w14:textFill>
        </w:rPr>
        <w:t>部分 名词解释</w:t>
      </w:r>
    </w:p>
    <w:p>
      <w:pPr>
        <w:spacing w:line="58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p>
    <w:p>
      <w:pPr>
        <w:spacing w:line="58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p>
    <w:p>
      <w:pPr>
        <w:spacing w:line="58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p>
    <w:p>
      <w:pPr>
        <w:spacing w:line="58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p>
    <w:p>
      <w:pPr>
        <w:spacing w:line="58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p>
    <w:p>
      <w:pPr>
        <w:numPr>
          <w:ilvl w:val="0"/>
          <w:numId w:val="2"/>
        </w:numPr>
        <w:spacing w:line="560" w:lineRule="exact"/>
        <w:jc w:val="center"/>
        <w:rPr>
          <w:rFonts w:ascii="Times New Roman" w:hAnsi="Times New Roman" w:eastAsia="黑体"/>
          <w:color w:val="000000" w:themeColor="text1"/>
          <w:sz w:val="36"/>
          <w:szCs w:val="36"/>
          <w:highlight w:val="none"/>
          <w14:textFill>
            <w14:solidFill>
              <w14:schemeClr w14:val="tx1"/>
            </w14:solidFill>
          </w14:textFill>
        </w:rPr>
      </w:pPr>
      <w:r>
        <w:rPr>
          <w:rFonts w:ascii="Times New Roman" w:hAnsi="Times New Roman" w:eastAsia="黑体"/>
          <w:color w:val="000000" w:themeColor="text1"/>
          <w:sz w:val="36"/>
          <w:szCs w:val="36"/>
          <w:highlight w:val="none"/>
          <w14:textFill>
            <w14:solidFill>
              <w14:schemeClr w14:val="tx1"/>
            </w14:solidFill>
          </w14:textFill>
        </w:rPr>
        <w:t xml:space="preserve"> </w:t>
      </w:r>
      <w:r>
        <w:rPr>
          <w:rFonts w:hint="eastAsia" w:ascii="Times New Roman" w:hAnsi="Times New Roman" w:eastAsia="黑体"/>
          <w:color w:val="000000" w:themeColor="text1"/>
          <w:sz w:val="36"/>
          <w:szCs w:val="36"/>
          <w:highlight w:val="none"/>
          <w:u w:val="none"/>
          <w:lang w:eastAsia="zh-CN"/>
          <w14:textFill>
            <w14:solidFill>
              <w14:schemeClr w14:val="tx1"/>
            </w14:solidFill>
          </w14:textFill>
        </w:rPr>
        <w:t>部门</w:t>
      </w:r>
      <w:r>
        <w:rPr>
          <w:rFonts w:ascii="Times New Roman" w:hAnsi="Times New Roman" w:eastAsia="黑体"/>
          <w:color w:val="000000" w:themeColor="text1"/>
          <w:sz w:val="36"/>
          <w:szCs w:val="36"/>
          <w:highlight w:val="none"/>
          <w14:textFill>
            <w14:solidFill>
              <w14:schemeClr w14:val="tx1"/>
            </w14:solidFill>
          </w14:textFill>
        </w:rPr>
        <w:t>概况</w:t>
      </w:r>
    </w:p>
    <w:p>
      <w:pPr>
        <w:numPr>
          <w:ilvl w:val="0"/>
          <w:numId w:val="0"/>
        </w:numPr>
        <w:spacing w:line="560" w:lineRule="exact"/>
        <w:jc w:val="both"/>
        <w:rPr>
          <w:rFonts w:ascii="Times New Roman" w:hAnsi="Times New Roman" w:eastAsia="黑体"/>
          <w:color w:val="000000" w:themeColor="text1"/>
          <w:sz w:val="36"/>
          <w:szCs w:val="36"/>
          <w:highlight w:val="none"/>
          <w14:textFill>
            <w14:solidFill>
              <w14:schemeClr w14:val="tx1"/>
            </w14:solidFill>
          </w14:textFill>
        </w:rPr>
      </w:pP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ascii="Times New Roman" w:hAnsi="Times New Roman" w:eastAsia="黑体"/>
          <w:color w:val="000000" w:themeColor="text1"/>
          <w:sz w:val="32"/>
          <w:szCs w:val="32"/>
          <w:highlight w:val="none"/>
          <w14:textFill>
            <w14:solidFill>
              <w14:schemeClr w14:val="tx1"/>
            </w14:solidFill>
          </w14:textFill>
        </w:rPr>
        <w:t>一、</w:t>
      </w:r>
      <w:r>
        <w:rPr>
          <w:rFonts w:hint="eastAsia" w:ascii="Times New Roman" w:hAnsi="Times New Roman" w:eastAsia="黑体"/>
          <w:color w:val="000000" w:themeColor="text1"/>
          <w:sz w:val="32"/>
          <w:szCs w:val="32"/>
          <w:highlight w:val="none"/>
          <w:lang w:eastAsia="zh-CN"/>
          <w14:textFill>
            <w14:solidFill>
              <w14:schemeClr w14:val="tx1"/>
            </w14:solidFill>
          </w14:textFill>
        </w:rPr>
        <w:t>主要</w:t>
      </w:r>
      <w:r>
        <w:rPr>
          <w:rFonts w:ascii="Times New Roman" w:hAnsi="Times New Roman" w:eastAsia="黑体"/>
          <w:color w:val="000000" w:themeColor="text1"/>
          <w:sz w:val="32"/>
          <w:szCs w:val="32"/>
          <w:highlight w:val="none"/>
          <w14:textFill>
            <w14:solidFill>
              <w14:schemeClr w14:val="tx1"/>
            </w14:solidFill>
          </w14:textFill>
        </w:rPr>
        <w:t>职责</w:t>
      </w:r>
    </w:p>
    <w:p>
      <w:pPr>
        <w:pStyle w:val="5"/>
        <w:widowControl w:val="0"/>
        <w:adjustRightInd w:val="0"/>
        <w:snapToGrid w:val="0"/>
        <w:spacing w:before="0" w:beforeAutospacing="0" w:after="0" w:afterAutospacing="0" w:line="560" w:lineRule="exact"/>
        <w:ind w:firstLine="784" w:firstLineChars="245"/>
        <w:jc w:val="both"/>
        <w:rPr>
          <w:rFonts w:hint="eastAsia"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14:textFill>
            <w14:solidFill>
              <w14:schemeClr w14:val="tx1"/>
            </w14:solidFill>
          </w14:textFill>
        </w:rPr>
        <w:t>根据六办〔2019〕26号文件规定，六安市重点工程建设管理处部门主要职责是：</w:t>
      </w:r>
    </w:p>
    <w:p>
      <w:pPr>
        <w:pStyle w:val="5"/>
        <w:widowControl w:val="0"/>
        <w:adjustRightInd w:val="0"/>
        <w:snapToGrid w:val="0"/>
        <w:spacing w:before="0" w:beforeAutospacing="0" w:after="0" w:afterAutospacing="0" w:line="560" w:lineRule="exact"/>
        <w:ind w:firstLine="784" w:firstLineChars="245"/>
        <w:jc w:val="both"/>
        <w:rPr>
          <w:rFonts w:hint="eastAsia"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14:textFill>
            <w14:solidFill>
              <w14:schemeClr w14:val="tx1"/>
            </w14:solidFill>
          </w14:textFill>
        </w:rPr>
        <w:t>（一）负责市政府投资的城市基础设施项目、公益性社会事业项目和市政府确定的其他重点工程项目建设。</w:t>
      </w:r>
    </w:p>
    <w:p>
      <w:pPr>
        <w:pStyle w:val="5"/>
        <w:widowControl w:val="0"/>
        <w:adjustRightInd w:val="0"/>
        <w:snapToGrid w:val="0"/>
        <w:spacing w:before="0" w:beforeAutospacing="0" w:after="0" w:afterAutospacing="0" w:line="560" w:lineRule="exact"/>
        <w:ind w:firstLine="784" w:firstLineChars="245"/>
        <w:jc w:val="both"/>
        <w:rPr>
          <w:rFonts w:hint="eastAsia"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14:textFill>
            <w14:solidFill>
              <w14:schemeClr w14:val="tx1"/>
            </w14:solidFill>
          </w14:textFill>
        </w:rPr>
        <w:t>（二）参与重点工程建设项目前期谋划、中心城市建设中长期规划（计划）编制、年度建设计划、投资预算编制工作。</w:t>
      </w:r>
    </w:p>
    <w:p>
      <w:pPr>
        <w:pStyle w:val="5"/>
        <w:widowControl w:val="0"/>
        <w:adjustRightInd w:val="0"/>
        <w:snapToGrid w:val="0"/>
        <w:spacing w:before="0" w:beforeAutospacing="0" w:after="0" w:afterAutospacing="0" w:line="560" w:lineRule="exact"/>
        <w:ind w:firstLine="784" w:firstLineChars="245"/>
        <w:jc w:val="both"/>
        <w:rPr>
          <w:rFonts w:hint="eastAsia"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14:textFill>
            <w14:solidFill>
              <w14:schemeClr w14:val="tx1"/>
            </w14:solidFill>
          </w14:textFill>
        </w:rPr>
        <w:t>（三）负责按项目建设进度审核工程量并提出拨付工程款意见，督促项目竣工结算，组织工程项目竣工验收和移交工作；负责代建项目工程款拨付。</w:t>
      </w:r>
    </w:p>
    <w:p>
      <w:pPr>
        <w:pStyle w:val="5"/>
        <w:widowControl w:val="0"/>
        <w:adjustRightInd w:val="0"/>
        <w:snapToGrid w:val="0"/>
        <w:spacing w:before="0" w:beforeAutospacing="0" w:after="0" w:afterAutospacing="0" w:line="560" w:lineRule="exact"/>
        <w:ind w:firstLine="784" w:firstLineChars="245"/>
        <w:jc w:val="both"/>
        <w:rPr>
          <w:rFonts w:hint="eastAsia"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14:textFill>
            <w14:solidFill>
              <w14:schemeClr w14:val="tx1"/>
            </w14:solidFill>
          </w14:textFill>
        </w:rPr>
        <w:t>（四）履行建设单位工程建设管理相关职责。</w:t>
      </w:r>
    </w:p>
    <w:p>
      <w:pPr>
        <w:pStyle w:val="5"/>
        <w:widowControl w:val="0"/>
        <w:adjustRightInd w:val="0"/>
        <w:snapToGrid w:val="0"/>
        <w:spacing w:before="0" w:beforeAutospacing="0" w:after="0" w:afterAutospacing="0" w:line="560" w:lineRule="exact"/>
        <w:ind w:firstLine="784" w:firstLineChars="245"/>
        <w:jc w:val="both"/>
        <w:rPr>
          <w:rFonts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14:textFill>
            <w14:solidFill>
              <w14:schemeClr w14:val="tx1"/>
            </w14:solidFill>
          </w14:textFill>
        </w:rPr>
        <w:t>（五）承办市政府交办的其他事项。</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ascii="Times New Roman" w:hAnsi="Times New Roman" w:eastAsia="黑体"/>
          <w:color w:val="000000" w:themeColor="text1"/>
          <w:sz w:val="32"/>
          <w:szCs w:val="32"/>
          <w:highlight w:val="none"/>
          <w14:textFill>
            <w14:solidFill>
              <w14:schemeClr w14:val="tx1"/>
            </w14:solidFill>
          </w14:textFill>
        </w:rPr>
        <w:t>二、</w:t>
      </w:r>
      <w:r>
        <w:rPr>
          <w:rFonts w:hint="eastAsia" w:ascii="Times New Roman" w:hAnsi="Times New Roman" w:eastAsia="黑体"/>
          <w:color w:val="000000" w:themeColor="text1"/>
          <w:sz w:val="32"/>
          <w:szCs w:val="32"/>
          <w:highlight w:val="none"/>
          <w:u w:val="none"/>
          <w:lang w:eastAsia="zh-CN"/>
          <w14:textFill>
            <w14:solidFill>
              <w14:schemeClr w14:val="tx1"/>
            </w14:solidFill>
          </w14:textFill>
        </w:rPr>
        <w:t>部门</w:t>
      </w:r>
      <w:r>
        <w:rPr>
          <w:rFonts w:ascii="Times New Roman" w:hAnsi="Times New Roman" w:eastAsia="黑体"/>
          <w:color w:val="000000" w:themeColor="text1"/>
          <w:sz w:val="32"/>
          <w:szCs w:val="32"/>
          <w:highlight w:val="none"/>
          <w14:textFill>
            <w14:solidFill>
              <w14:schemeClr w14:val="tx1"/>
            </w14:solidFill>
          </w14:textFill>
        </w:rPr>
        <w:t>预算构成</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度</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部门</w:t>
      </w:r>
      <w:r>
        <w:rPr>
          <w:rFonts w:ascii="Times New Roman" w:hAnsi="Times New Roman" w:eastAsia="仿宋_GB2312"/>
          <w:color w:val="000000" w:themeColor="text1"/>
          <w:sz w:val="32"/>
          <w:szCs w:val="32"/>
          <w:highlight w:val="none"/>
          <w:u w:val="none"/>
          <w14:textFill>
            <w14:solidFill>
              <w14:schemeClr w14:val="tx1"/>
            </w14:solidFill>
          </w14:textFill>
        </w:rPr>
        <w:t>预算为</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处</w:t>
      </w:r>
      <w:r>
        <w:rPr>
          <w:rFonts w:ascii="Times New Roman" w:hAnsi="Times New Roman" w:eastAsia="仿宋_GB2312"/>
          <w:color w:val="000000" w:themeColor="text1"/>
          <w:sz w:val="32"/>
          <w:szCs w:val="32"/>
          <w:highlight w:val="none"/>
          <w:u w:val="none"/>
          <w14:textFill>
            <w14:solidFill>
              <w14:schemeClr w14:val="tx1"/>
            </w14:solidFill>
          </w14:textFill>
        </w:rPr>
        <w:t>本级预算，纳入</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部门</w:t>
      </w:r>
      <w:r>
        <w:rPr>
          <w:rFonts w:ascii="Times New Roman" w:hAnsi="Times New Roman" w:eastAsia="仿宋_GB2312"/>
          <w:color w:val="000000" w:themeColor="text1"/>
          <w:sz w:val="32"/>
          <w:szCs w:val="32"/>
          <w:highlight w:val="none"/>
          <w:u w:val="none"/>
          <w14:textFill>
            <w14:solidFill>
              <w14:schemeClr w14:val="tx1"/>
            </w14:solidFill>
          </w14:textFill>
        </w:rPr>
        <w:t>预算编制范围的单位共1个，单位性质为</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公益一类事业</w:t>
      </w:r>
      <w:r>
        <w:rPr>
          <w:rFonts w:ascii="Times New Roman" w:hAnsi="Times New Roman" w:eastAsia="仿宋_GB2312"/>
          <w:color w:val="000000" w:themeColor="text1"/>
          <w:sz w:val="32"/>
          <w:szCs w:val="32"/>
          <w:highlight w:val="none"/>
          <w:u w:val="none"/>
          <w14:textFill>
            <w14:solidFill>
              <w14:schemeClr w14:val="tx1"/>
            </w14:solidFill>
          </w14:textFill>
        </w:rPr>
        <w:t>单位</w:t>
      </w:r>
      <w:r>
        <w:rPr>
          <w:rFonts w:ascii="Times New Roman" w:hAnsi="Times New Roman" w:eastAsia="仿宋_GB2312"/>
          <w:color w:val="000000" w:themeColor="text1"/>
          <w:sz w:val="32"/>
          <w:szCs w:val="32"/>
          <w:highlight w:val="none"/>
          <w14:textFill>
            <w14:solidFill>
              <w14:schemeClr w14:val="tx1"/>
            </w14:solidFill>
          </w14:textFill>
        </w:rPr>
        <w:t>。截至</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2022年</w:t>
      </w:r>
      <w:r>
        <w:rPr>
          <w:rFonts w:ascii="Times New Roman" w:hAnsi="Times New Roman" w:eastAsia="仿宋_GB2312"/>
          <w:color w:val="000000" w:themeColor="text1"/>
          <w:sz w:val="32"/>
          <w:szCs w:val="32"/>
          <w:highlight w:val="none"/>
          <w14:textFill>
            <w14:solidFill>
              <w14:schemeClr w14:val="tx1"/>
            </w14:solidFill>
          </w14:textFill>
        </w:rPr>
        <w:t>12月，</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lang w:val="en"/>
          <w14:textFill>
            <w14:solidFill>
              <w14:schemeClr w14:val="tx1"/>
            </w14:solidFill>
          </w14:textFill>
        </w:rPr>
        <w:t>重点工程建设管理处</w:t>
      </w:r>
      <w:r>
        <w:rPr>
          <w:rFonts w:ascii="Times New Roman" w:hAnsi="Times New Roman" w:eastAsia="仿宋_GB2312"/>
          <w:color w:val="000000" w:themeColor="text1"/>
          <w:sz w:val="32"/>
          <w:szCs w:val="32"/>
          <w:highlight w:val="none"/>
          <w14:textFill>
            <w14:solidFill>
              <w14:schemeClr w14:val="tx1"/>
            </w14:solidFill>
          </w14:textFill>
        </w:rPr>
        <w:t>实有各类人</w:t>
      </w:r>
      <w:r>
        <w:rPr>
          <w:rFonts w:ascii="Times New Roman" w:hAnsi="Times New Roman" w:eastAsia="仿宋_GB2312"/>
          <w:color w:val="000000" w:themeColor="text1"/>
          <w:sz w:val="32"/>
          <w:szCs w:val="32"/>
          <w:highlight w:val="none"/>
          <w:u w:val="none"/>
          <w14:textFill>
            <w14:solidFill>
              <w14:schemeClr w14:val="tx1"/>
            </w14:solidFill>
          </w14:textFill>
        </w:rPr>
        <w:t>员</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46</w:t>
      </w:r>
      <w:r>
        <w:rPr>
          <w:rFonts w:ascii="Times New Roman" w:hAnsi="Times New Roman" w:eastAsia="仿宋_GB2312"/>
          <w:color w:val="000000" w:themeColor="text1"/>
          <w:sz w:val="32"/>
          <w:szCs w:val="32"/>
          <w:highlight w:val="none"/>
          <w:u w:val="none"/>
          <w14:textFill>
            <w14:solidFill>
              <w14:schemeClr w14:val="tx1"/>
            </w14:solidFill>
          </w14:textFill>
        </w:rPr>
        <w:t xml:space="preserve">人，其中在职 </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44</w:t>
      </w:r>
      <w:r>
        <w:rPr>
          <w:rFonts w:ascii="Times New Roman" w:hAnsi="Times New Roman" w:eastAsia="仿宋_GB2312"/>
          <w:color w:val="000000" w:themeColor="text1"/>
          <w:sz w:val="32"/>
          <w:szCs w:val="32"/>
          <w:highlight w:val="none"/>
          <w:u w:val="none"/>
          <w14:textFill>
            <w14:solidFill>
              <w14:schemeClr w14:val="tx1"/>
            </w14:solidFill>
          </w14:textFill>
        </w:rPr>
        <w:t>人、离休</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u w:val="none"/>
          <w14:textFill>
            <w14:solidFill>
              <w14:schemeClr w14:val="tx1"/>
            </w14:solidFill>
          </w14:textFill>
        </w:rPr>
        <w:t>人、退休</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2</w:t>
      </w:r>
      <w:r>
        <w:rPr>
          <w:rFonts w:ascii="Times New Roman" w:hAnsi="Times New Roman" w:eastAsia="仿宋_GB2312"/>
          <w:color w:val="000000" w:themeColor="text1"/>
          <w:sz w:val="32"/>
          <w:szCs w:val="32"/>
          <w:highlight w:val="none"/>
          <w:u w:val="none"/>
          <w14:textFill>
            <w14:solidFill>
              <w14:schemeClr w14:val="tx1"/>
            </w14:solidFill>
          </w14:textFill>
        </w:rPr>
        <w:t>人。</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ascii="Times New Roman" w:hAnsi="Times New Roman" w:eastAsia="黑体"/>
          <w:color w:val="000000" w:themeColor="text1"/>
          <w:sz w:val="32"/>
          <w:szCs w:val="32"/>
          <w:highlight w:val="none"/>
          <w14:textFill>
            <w14:solidFill>
              <w14:schemeClr w14:val="tx1"/>
            </w14:solidFill>
          </w14:textFill>
        </w:rPr>
        <w:t>三、</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度主要工作任务</w:t>
      </w:r>
    </w:p>
    <w:p>
      <w:pPr>
        <w:pStyle w:val="5"/>
        <w:widowControl w:val="0"/>
        <w:adjustRightInd w:val="0"/>
        <w:snapToGrid w:val="0"/>
        <w:spacing w:before="0" w:beforeAutospacing="0" w:after="0" w:afterAutospacing="0" w:line="560" w:lineRule="exact"/>
        <w:ind w:firstLine="784" w:firstLineChars="245"/>
        <w:jc w:val="both"/>
        <w:rPr>
          <w:rFonts w:hint="eastAsia"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14:textFill>
            <w14:solidFill>
              <w14:schemeClr w14:val="tx1"/>
            </w14:solidFill>
          </w14:textFill>
        </w:rPr>
        <w:t>1．全面推进重点工程建设，确保完成年度投资计划</w:t>
      </w:r>
    </w:p>
    <w:p>
      <w:pPr>
        <w:pStyle w:val="5"/>
        <w:widowControl w:val="0"/>
        <w:adjustRightInd w:val="0"/>
        <w:snapToGrid w:val="0"/>
        <w:spacing w:before="0" w:beforeAutospacing="0" w:after="0" w:afterAutospacing="0" w:line="560" w:lineRule="exact"/>
        <w:ind w:firstLine="784" w:firstLineChars="245"/>
        <w:jc w:val="both"/>
        <w:rPr>
          <w:rFonts w:hint="eastAsia"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14:textFill>
            <w14:solidFill>
              <w14:schemeClr w14:val="tx1"/>
            </w14:solidFill>
          </w14:textFill>
        </w:rPr>
        <w:t>2．深入开展基层党建工作，推动党风廉政建设</w:t>
      </w:r>
    </w:p>
    <w:p>
      <w:pPr>
        <w:pStyle w:val="5"/>
        <w:widowControl w:val="0"/>
        <w:adjustRightInd w:val="0"/>
        <w:snapToGrid w:val="0"/>
        <w:spacing w:before="0" w:beforeAutospacing="0" w:after="0" w:afterAutospacing="0" w:line="560" w:lineRule="exact"/>
        <w:ind w:firstLine="784" w:firstLineChars="245"/>
        <w:jc w:val="both"/>
        <w:rPr>
          <w:rFonts w:hint="eastAsia"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14:textFill>
            <w14:solidFill>
              <w14:schemeClr w14:val="tx1"/>
            </w14:solidFill>
          </w14:textFill>
        </w:rPr>
        <w:t>3．切实做好“双创”工作，顺利实现“双创”目标</w:t>
      </w:r>
    </w:p>
    <w:p>
      <w:pPr>
        <w:pStyle w:val="5"/>
        <w:widowControl w:val="0"/>
        <w:adjustRightInd w:val="0"/>
        <w:snapToGrid w:val="0"/>
        <w:spacing w:before="0" w:beforeAutospacing="0" w:after="0" w:afterAutospacing="0" w:line="560" w:lineRule="exact"/>
        <w:ind w:firstLine="784" w:firstLineChars="245"/>
        <w:jc w:val="both"/>
        <w:rPr>
          <w:rFonts w:hint="eastAsia"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14:textFill>
            <w14:solidFill>
              <w14:schemeClr w14:val="tx1"/>
            </w14:solidFill>
          </w14:textFill>
        </w:rPr>
        <w:t>4．重点抓好安全生产工作，确保重点工程“零事故”</w:t>
      </w:r>
    </w:p>
    <w:p>
      <w:pPr>
        <w:pStyle w:val="5"/>
        <w:widowControl w:val="0"/>
        <w:adjustRightInd w:val="0"/>
        <w:snapToGrid w:val="0"/>
        <w:spacing w:before="0" w:beforeAutospacing="0" w:after="0" w:afterAutospacing="0" w:line="560" w:lineRule="exact"/>
        <w:ind w:firstLine="784" w:firstLineChars="245"/>
        <w:jc w:val="both"/>
        <w:rPr>
          <w:rFonts w:hint="eastAsia"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14:textFill>
            <w14:solidFill>
              <w14:schemeClr w14:val="tx1"/>
            </w14:solidFill>
          </w14:textFill>
        </w:rPr>
        <w:t>5．加强工程建设监管，保证依法行政顺利开展</w:t>
      </w:r>
    </w:p>
    <w:p>
      <w:pPr>
        <w:pStyle w:val="5"/>
        <w:widowControl w:val="0"/>
        <w:adjustRightInd w:val="0"/>
        <w:snapToGrid w:val="0"/>
        <w:spacing w:before="0" w:beforeAutospacing="0" w:after="0" w:afterAutospacing="0" w:line="560" w:lineRule="exact"/>
        <w:ind w:firstLine="784" w:firstLineChars="245"/>
        <w:jc w:val="both"/>
        <w:rPr>
          <w:rFonts w:hint="eastAsia"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14:textFill>
            <w14:solidFill>
              <w14:schemeClr w14:val="tx1"/>
            </w14:solidFill>
          </w14:textFill>
        </w:rPr>
        <w:t>6．强化社会管理综合治理，全面落实平安创建</w:t>
      </w:r>
    </w:p>
    <w:p>
      <w:pPr>
        <w:pStyle w:val="5"/>
        <w:widowControl w:val="0"/>
        <w:adjustRightInd w:val="0"/>
        <w:snapToGrid w:val="0"/>
        <w:spacing w:before="0" w:beforeAutospacing="0" w:after="0" w:afterAutospacing="0" w:line="560" w:lineRule="exact"/>
        <w:ind w:firstLine="784" w:firstLineChars="245"/>
        <w:jc w:val="both"/>
        <w:rPr>
          <w:rFonts w:hint="eastAsia"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14:textFill>
            <w14:solidFill>
              <w14:schemeClr w14:val="tx1"/>
            </w14:solidFill>
          </w14:textFill>
        </w:rPr>
        <w:t>7．及时调处矛盾纠纷，扎实完成信访工作</w:t>
      </w:r>
    </w:p>
    <w:p>
      <w:pPr>
        <w:pStyle w:val="5"/>
        <w:widowControl w:val="0"/>
        <w:adjustRightInd w:val="0"/>
        <w:snapToGrid w:val="0"/>
        <w:spacing w:before="0" w:beforeAutospacing="0" w:after="0" w:afterAutospacing="0" w:line="560" w:lineRule="exact"/>
        <w:ind w:firstLine="784" w:firstLineChars="245"/>
        <w:jc w:val="both"/>
        <w:rPr>
          <w:rFonts w:hint="eastAsia"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14:textFill>
            <w14:solidFill>
              <w14:schemeClr w14:val="tx1"/>
            </w14:solidFill>
          </w14:textFill>
        </w:rPr>
        <w:t>8．提升效能建设水平，促进重点工程建设工作</w:t>
      </w:r>
    </w:p>
    <w:p>
      <w:pPr>
        <w:pStyle w:val="5"/>
        <w:widowControl w:val="0"/>
        <w:adjustRightInd w:val="0"/>
        <w:snapToGrid w:val="0"/>
        <w:spacing w:before="0" w:beforeAutospacing="0" w:after="0" w:afterAutospacing="0" w:line="560" w:lineRule="exact"/>
        <w:ind w:firstLine="784" w:firstLineChars="245"/>
        <w:jc w:val="both"/>
        <w:rPr>
          <w:rFonts w:hint="eastAsia"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14:textFill>
            <w14:solidFill>
              <w14:schemeClr w14:val="tx1"/>
            </w14:solidFill>
          </w14:textFill>
        </w:rPr>
        <w:t>9．以实现年度目标任务为抓手，全面推进社会管理工作</w:t>
      </w:r>
    </w:p>
    <w:p>
      <w:pPr>
        <w:pStyle w:val="5"/>
        <w:widowControl w:val="0"/>
        <w:adjustRightInd w:val="0"/>
        <w:snapToGrid w:val="0"/>
        <w:spacing w:before="0" w:beforeAutospacing="0" w:after="0" w:afterAutospacing="0" w:line="560" w:lineRule="exact"/>
        <w:ind w:firstLine="784" w:firstLineChars="245"/>
        <w:jc w:val="both"/>
        <w:rPr>
          <w:rFonts w:hint="eastAsia" w:ascii="Times New Roman" w:hAnsi="Times New Roman" w:eastAsia="仿宋_GB2312" w:cs="Times New Roman"/>
          <w:bCs/>
          <w:color w:val="000000" w:themeColor="text1"/>
          <w:sz w:val="32"/>
          <w:szCs w:val="32"/>
          <w:u w:val="none"/>
          <w14:textFill>
            <w14:solidFill>
              <w14:schemeClr w14:val="tx1"/>
            </w14:solidFill>
          </w14:textFill>
        </w:rPr>
      </w:pPr>
      <w:r>
        <w:rPr>
          <w:rFonts w:hint="eastAsia" w:ascii="Times New Roman" w:hAnsi="Times New Roman" w:eastAsia="仿宋_GB2312" w:cs="Times New Roman"/>
          <w:bCs/>
          <w:color w:val="000000" w:themeColor="text1"/>
          <w:sz w:val="32"/>
          <w:szCs w:val="32"/>
          <w:u w:val="none"/>
          <w14:textFill>
            <w14:solidFill>
              <w14:schemeClr w14:val="tx1"/>
            </w14:solidFill>
          </w14:textFill>
        </w:rPr>
        <w:t>10．以规范重点工程建设为契机，切实抓好档案管理</w:t>
      </w:r>
    </w:p>
    <w:p>
      <w:pPr>
        <w:pStyle w:val="5"/>
        <w:widowControl w:val="0"/>
        <w:adjustRightInd w:val="0"/>
        <w:snapToGrid w:val="0"/>
        <w:spacing w:before="0" w:beforeAutospacing="0" w:after="0" w:afterAutospacing="0" w:line="560" w:lineRule="exact"/>
        <w:ind w:firstLine="784" w:firstLineChars="245"/>
        <w:jc w:val="both"/>
        <w:rPr>
          <w:rFonts w:hint="eastAsia" w:ascii="Times New Roman" w:hAnsi="Times New Roman" w:eastAsia="仿宋_GB2312" w:cs="Times New Roman"/>
          <w:bCs/>
          <w:color w:val="000000" w:themeColor="text1"/>
          <w:sz w:val="32"/>
          <w:szCs w:val="32"/>
          <w:u w:val="none"/>
          <w14:textFill>
            <w14:solidFill>
              <w14:schemeClr w14:val="tx1"/>
            </w14:solidFill>
          </w14:textFill>
        </w:rPr>
      </w:pPr>
    </w:p>
    <w:p>
      <w:pPr>
        <w:numPr>
          <w:ilvl w:val="0"/>
          <w:numId w:val="2"/>
        </w:numPr>
        <w:spacing w:line="560" w:lineRule="exact"/>
        <w:ind w:left="0" w:leftChars="0" w:firstLine="0" w:firstLineChars="0"/>
        <w:jc w:val="center"/>
        <w:rPr>
          <w:rFonts w:ascii="Times New Roman" w:hAnsi="Times New Roman" w:eastAsia="黑体"/>
          <w:color w:val="000000" w:themeColor="text1"/>
          <w:sz w:val="36"/>
          <w:szCs w:val="36"/>
          <w:highlight w:val="none"/>
          <w14:textFill>
            <w14:solidFill>
              <w14:schemeClr w14:val="tx1"/>
            </w14:solidFill>
          </w14:textFill>
        </w:rPr>
      </w:pPr>
      <w:r>
        <w:rPr>
          <w:rFonts w:ascii="Times New Roman" w:hAnsi="Times New Roman" w:eastAsia="黑体"/>
          <w:color w:val="000000" w:themeColor="text1"/>
          <w:sz w:val="36"/>
          <w:szCs w:val="36"/>
          <w:highlight w:val="none"/>
          <w14:textFill>
            <w14:solidFill>
              <w14:schemeClr w14:val="tx1"/>
            </w14:solidFill>
          </w14:textFill>
        </w:rPr>
        <w:t xml:space="preserve"> </w:t>
      </w:r>
      <w:r>
        <w:rPr>
          <w:rFonts w:hint="eastAsia" w:ascii="Times New Roman" w:hAnsi="Times New Roman" w:eastAsia="黑体"/>
          <w:color w:val="000000" w:themeColor="text1"/>
          <w:sz w:val="36"/>
          <w:szCs w:val="36"/>
          <w:highlight w:val="none"/>
          <w:lang w:eastAsia="zh-CN"/>
          <w14:textFill>
            <w14:solidFill>
              <w14:schemeClr w14:val="tx1"/>
            </w14:solidFill>
          </w14:textFill>
        </w:rPr>
        <w:t>2023年</w:t>
      </w:r>
      <w:r>
        <w:rPr>
          <w:rFonts w:hint="eastAsia" w:ascii="Times New Roman" w:hAnsi="Times New Roman" w:eastAsia="黑体"/>
          <w:color w:val="000000" w:themeColor="text1"/>
          <w:sz w:val="36"/>
          <w:szCs w:val="36"/>
          <w:highlight w:val="none"/>
          <w:u w:val="none"/>
          <w:lang w:eastAsia="zh-CN"/>
          <w14:textFill>
            <w14:solidFill>
              <w14:schemeClr w14:val="tx1"/>
            </w14:solidFill>
          </w14:textFill>
        </w:rPr>
        <w:t>部门</w:t>
      </w:r>
      <w:r>
        <w:rPr>
          <w:rFonts w:ascii="Times New Roman" w:hAnsi="Times New Roman" w:eastAsia="黑体"/>
          <w:color w:val="000000" w:themeColor="text1"/>
          <w:sz w:val="36"/>
          <w:szCs w:val="36"/>
          <w:highlight w:val="none"/>
          <w14:textFill>
            <w14:solidFill>
              <w14:schemeClr w14:val="tx1"/>
            </w14:solidFill>
          </w14:textFill>
        </w:rPr>
        <w:t>预算表</w:t>
      </w:r>
    </w:p>
    <w:p>
      <w:pPr>
        <w:numPr>
          <w:ilvl w:val="0"/>
          <w:numId w:val="0"/>
        </w:numPr>
        <w:spacing w:line="560" w:lineRule="exact"/>
        <w:ind w:leftChars="0"/>
        <w:jc w:val="both"/>
        <w:rPr>
          <w:rFonts w:ascii="Times New Roman" w:hAnsi="Times New Roman" w:eastAsia="黑体"/>
          <w:color w:val="000000" w:themeColor="text1"/>
          <w:sz w:val="36"/>
          <w:szCs w:val="36"/>
          <w:highlight w:val="none"/>
          <w14:textFill>
            <w14:solidFill>
              <w14:schemeClr w14:val="tx1"/>
            </w14:solidFill>
          </w14:textFill>
        </w:rPr>
      </w:pPr>
    </w:p>
    <w:p>
      <w:pPr>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预算表由以下1</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4</w:t>
      </w:r>
      <w:r>
        <w:rPr>
          <w:rFonts w:ascii="Times New Roman" w:hAnsi="Times New Roman" w:eastAsia="仿宋_GB2312"/>
          <w:color w:val="000000" w:themeColor="text1"/>
          <w:sz w:val="32"/>
          <w:szCs w:val="32"/>
          <w:highlight w:val="none"/>
          <w:u w:val="none"/>
          <w14:textFill>
            <w14:solidFill>
              <w14:schemeClr w14:val="tx1"/>
            </w14:solidFill>
          </w14:textFill>
        </w:rPr>
        <w:t>张表格构成，具体表格内容见</w:t>
      </w:r>
      <w:r>
        <w:rPr>
          <w:rFonts w:hint="eastAsia" w:ascii="Times New Roman" w:hAnsi="Times New Roman" w:eastAsia="仿宋_GB2312"/>
          <w:color w:val="000000" w:themeColor="text1"/>
          <w:sz w:val="32"/>
          <w:szCs w:val="32"/>
          <w:highlight w:val="none"/>
          <w:u w:val="none"/>
          <w14:textFill>
            <w14:solidFill>
              <w14:schemeClr w14:val="tx1"/>
            </w14:solidFill>
          </w14:textFill>
        </w:rPr>
        <w:t>附件</w:t>
      </w:r>
      <w:r>
        <w:rPr>
          <w:rFonts w:ascii="Times New Roman" w:hAnsi="Times New Roman" w:eastAsia="仿宋_GB2312"/>
          <w:color w:val="000000" w:themeColor="text1"/>
          <w:sz w:val="32"/>
          <w:szCs w:val="32"/>
          <w:highlight w:val="none"/>
          <w:u w:val="none"/>
          <w14:textFill>
            <w14:solidFill>
              <w14:schemeClr w14:val="tx1"/>
            </w14:solidFill>
          </w14:textFill>
        </w:rPr>
        <w:t>。</w:t>
      </w:r>
    </w:p>
    <w:p>
      <w:pPr>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1.</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收支总表（</w:t>
      </w:r>
      <w:r>
        <w:rPr>
          <w:rFonts w:hint="eastAsia" w:ascii="Times New Roman" w:hAnsi="Times New Roman" w:eastAsia="仿宋_GB2312"/>
          <w:color w:val="000000" w:themeColor="text1"/>
          <w:sz w:val="32"/>
          <w:szCs w:val="32"/>
          <w:highlight w:val="none"/>
          <w:u w:val="none"/>
          <w14:textFill>
            <w14:solidFill>
              <w14:schemeClr w14:val="tx1"/>
            </w14:solidFill>
          </w14:textFill>
        </w:rPr>
        <w:t>附件表</w:t>
      </w:r>
      <w:r>
        <w:rPr>
          <w:rFonts w:ascii="Times New Roman" w:hAnsi="Times New Roman" w:eastAsia="仿宋_GB2312"/>
          <w:color w:val="000000" w:themeColor="text1"/>
          <w:sz w:val="32"/>
          <w:szCs w:val="32"/>
          <w:highlight w:val="none"/>
          <w:u w:val="none"/>
          <w14:textFill>
            <w14:solidFill>
              <w14:schemeClr w14:val="tx1"/>
            </w14:solidFill>
          </w14:textFill>
        </w:rPr>
        <w:t>1）</w:t>
      </w:r>
    </w:p>
    <w:p>
      <w:pPr>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2.</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收入总表（</w:t>
      </w:r>
      <w:r>
        <w:rPr>
          <w:rFonts w:hint="eastAsia" w:ascii="Times New Roman" w:hAnsi="Times New Roman" w:eastAsia="仿宋_GB2312"/>
          <w:color w:val="000000" w:themeColor="text1"/>
          <w:sz w:val="32"/>
          <w:szCs w:val="32"/>
          <w:highlight w:val="none"/>
          <w:u w:val="none"/>
          <w14:textFill>
            <w14:solidFill>
              <w14:schemeClr w14:val="tx1"/>
            </w14:solidFill>
          </w14:textFill>
        </w:rPr>
        <w:t>附件表</w:t>
      </w:r>
      <w:r>
        <w:rPr>
          <w:rFonts w:ascii="Times New Roman" w:hAnsi="Times New Roman" w:eastAsia="仿宋_GB2312"/>
          <w:color w:val="000000" w:themeColor="text1"/>
          <w:sz w:val="32"/>
          <w:szCs w:val="32"/>
          <w:highlight w:val="none"/>
          <w:u w:val="none"/>
          <w14:textFill>
            <w14:solidFill>
              <w14:schemeClr w14:val="tx1"/>
            </w14:solidFill>
          </w14:textFill>
        </w:rPr>
        <w:t>2）</w:t>
      </w:r>
    </w:p>
    <w:p>
      <w:pPr>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3.</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支出总表（</w:t>
      </w:r>
      <w:r>
        <w:rPr>
          <w:rFonts w:hint="eastAsia" w:ascii="Times New Roman" w:hAnsi="Times New Roman" w:eastAsia="仿宋_GB2312"/>
          <w:color w:val="000000" w:themeColor="text1"/>
          <w:sz w:val="32"/>
          <w:szCs w:val="32"/>
          <w:highlight w:val="none"/>
          <w:u w:val="none"/>
          <w14:textFill>
            <w14:solidFill>
              <w14:schemeClr w14:val="tx1"/>
            </w14:solidFill>
          </w14:textFill>
        </w:rPr>
        <w:t>附件表</w:t>
      </w:r>
      <w:r>
        <w:rPr>
          <w:rFonts w:ascii="Times New Roman" w:hAnsi="Times New Roman" w:eastAsia="仿宋_GB2312"/>
          <w:color w:val="000000" w:themeColor="text1"/>
          <w:sz w:val="32"/>
          <w:szCs w:val="32"/>
          <w:highlight w:val="none"/>
          <w:u w:val="none"/>
          <w14:textFill>
            <w14:solidFill>
              <w14:schemeClr w14:val="tx1"/>
            </w14:solidFill>
          </w14:textFill>
        </w:rPr>
        <w:t>3）</w:t>
      </w:r>
    </w:p>
    <w:p>
      <w:pPr>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4.</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财政拨款收支总表（</w:t>
      </w:r>
      <w:r>
        <w:rPr>
          <w:rFonts w:hint="eastAsia" w:ascii="Times New Roman" w:hAnsi="Times New Roman" w:eastAsia="仿宋_GB2312"/>
          <w:color w:val="000000" w:themeColor="text1"/>
          <w:sz w:val="32"/>
          <w:szCs w:val="32"/>
          <w:highlight w:val="none"/>
          <w:u w:val="none"/>
          <w14:textFill>
            <w14:solidFill>
              <w14:schemeClr w14:val="tx1"/>
            </w14:solidFill>
          </w14:textFill>
        </w:rPr>
        <w:t>附件表</w:t>
      </w:r>
      <w:r>
        <w:rPr>
          <w:rFonts w:ascii="Times New Roman" w:hAnsi="Times New Roman" w:eastAsia="仿宋_GB2312"/>
          <w:color w:val="000000" w:themeColor="text1"/>
          <w:sz w:val="32"/>
          <w:szCs w:val="32"/>
          <w:highlight w:val="none"/>
          <w:u w:val="none"/>
          <w14:textFill>
            <w14:solidFill>
              <w14:schemeClr w14:val="tx1"/>
            </w14:solidFill>
          </w14:textFill>
        </w:rPr>
        <w:t>4）</w:t>
      </w:r>
    </w:p>
    <w:p>
      <w:pPr>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5.</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一般公共预算支出表（</w:t>
      </w:r>
      <w:r>
        <w:rPr>
          <w:rFonts w:hint="eastAsia" w:ascii="Times New Roman" w:hAnsi="Times New Roman" w:eastAsia="仿宋_GB2312"/>
          <w:color w:val="000000" w:themeColor="text1"/>
          <w:sz w:val="32"/>
          <w:szCs w:val="32"/>
          <w:highlight w:val="none"/>
          <w:u w:val="none"/>
          <w14:textFill>
            <w14:solidFill>
              <w14:schemeClr w14:val="tx1"/>
            </w14:solidFill>
          </w14:textFill>
        </w:rPr>
        <w:t>附件表</w:t>
      </w:r>
      <w:r>
        <w:rPr>
          <w:rFonts w:ascii="Times New Roman" w:hAnsi="Times New Roman" w:eastAsia="仿宋_GB2312"/>
          <w:color w:val="000000" w:themeColor="text1"/>
          <w:sz w:val="32"/>
          <w:szCs w:val="32"/>
          <w:highlight w:val="none"/>
          <w:u w:val="none"/>
          <w14:textFill>
            <w14:solidFill>
              <w14:schemeClr w14:val="tx1"/>
            </w14:solidFill>
          </w14:textFill>
        </w:rPr>
        <w:t>5）</w:t>
      </w:r>
    </w:p>
    <w:p>
      <w:pPr>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6.</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一般公共预算基本支出表（</w:t>
      </w:r>
      <w:r>
        <w:rPr>
          <w:rFonts w:hint="eastAsia" w:ascii="Times New Roman" w:hAnsi="Times New Roman" w:eastAsia="仿宋_GB2312"/>
          <w:color w:val="000000" w:themeColor="text1"/>
          <w:sz w:val="32"/>
          <w:szCs w:val="32"/>
          <w:highlight w:val="none"/>
          <w:u w:val="none"/>
          <w14:textFill>
            <w14:solidFill>
              <w14:schemeClr w14:val="tx1"/>
            </w14:solidFill>
          </w14:textFill>
        </w:rPr>
        <w:t>附件表</w:t>
      </w:r>
      <w:r>
        <w:rPr>
          <w:rFonts w:ascii="Times New Roman" w:hAnsi="Times New Roman" w:eastAsia="仿宋_GB2312"/>
          <w:color w:val="000000" w:themeColor="text1"/>
          <w:sz w:val="32"/>
          <w:szCs w:val="32"/>
          <w:highlight w:val="none"/>
          <w:u w:val="none"/>
          <w14:textFill>
            <w14:solidFill>
              <w14:schemeClr w14:val="tx1"/>
            </w14:solidFill>
          </w14:textFill>
        </w:rPr>
        <w:t>6）</w:t>
      </w:r>
    </w:p>
    <w:p>
      <w:pPr>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7.</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政府性基金预算支出表（</w:t>
      </w:r>
      <w:r>
        <w:rPr>
          <w:rFonts w:hint="eastAsia" w:ascii="Times New Roman" w:hAnsi="Times New Roman" w:eastAsia="仿宋_GB2312"/>
          <w:color w:val="000000" w:themeColor="text1"/>
          <w:sz w:val="32"/>
          <w:szCs w:val="32"/>
          <w:highlight w:val="none"/>
          <w:u w:val="none"/>
          <w14:textFill>
            <w14:solidFill>
              <w14:schemeClr w14:val="tx1"/>
            </w14:solidFill>
          </w14:textFill>
        </w:rPr>
        <w:t>附件表</w:t>
      </w:r>
      <w:r>
        <w:rPr>
          <w:rFonts w:ascii="Times New Roman" w:hAnsi="Times New Roman" w:eastAsia="仿宋_GB2312"/>
          <w:color w:val="000000" w:themeColor="text1"/>
          <w:sz w:val="32"/>
          <w:szCs w:val="32"/>
          <w:highlight w:val="none"/>
          <w:u w:val="none"/>
          <w14:textFill>
            <w14:solidFill>
              <w14:schemeClr w14:val="tx1"/>
            </w14:solidFill>
          </w14:textFill>
        </w:rPr>
        <w:t>7）</w:t>
      </w:r>
    </w:p>
    <w:p>
      <w:pPr>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8.</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国有资本经营预算支出表（</w:t>
      </w:r>
      <w:r>
        <w:rPr>
          <w:rFonts w:hint="eastAsia" w:ascii="Times New Roman" w:hAnsi="Times New Roman" w:eastAsia="仿宋_GB2312"/>
          <w:color w:val="000000" w:themeColor="text1"/>
          <w:sz w:val="32"/>
          <w:szCs w:val="32"/>
          <w:highlight w:val="none"/>
          <w:u w:val="none"/>
          <w14:textFill>
            <w14:solidFill>
              <w14:schemeClr w14:val="tx1"/>
            </w14:solidFill>
          </w14:textFill>
        </w:rPr>
        <w:t>附件表</w:t>
      </w:r>
      <w:r>
        <w:rPr>
          <w:rFonts w:ascii="Times New Roman" w:hAnsi="Times New Roman" w:eastAsia="仿宋_GB2312"/>
          <w:color w:val="000000" w:themeColor="text1"/>
          <w:sz w:val="32"/>
          <w:szCs w:val="32"/>
          <w:highlight w:val="none"/>
          <w:u w:val="none"/>
          <w14:textFill>
            <w14:solidFill>
              <w14:schemeClr w14:val="tx1"/>
            </w14:solidFill>
          </w14:textFill>
        </w:rPr>
        <w:t>8）</w:t>
      </w:r>
    </w:p>
    <w:p>
      <w:pPr>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9.</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基本支出总表（</w:t>
      </w:r>
      <w:r>
        <w:rPr>
          <w:rFonts w:hint="eastAsia" w:ascii="Times New Roman" w:hAnsi="Times New Roman" w:eastAsia="仿宋_GB2312"/>
          <w:color w:val="000000" w:themeColor="text1"/>
          <w:sz w:val="32"/>
          <w:szCs w:val="32"/>
          <w:highlight w:val="none"/>
          <w:u w:val="none"/>
          <w14:textFill>
            <w14:solidFill>
              <w14:schemeClr w14:val="tx1"/>
            </w14:solidFill>
          </w14:textFill>
        </w:rPr>
        <w:t>附件表</w:t>
      </w:r>
      <w:r>
        <w:rPr>
          <w:rFonts w:ascii="Times New Roman" w:hAnsi="Times New Roman" w:eastAsia="仿宋_GB2312"/>
          <w:color w:val="000000" w:themeColor="text1"/>
          <w:sz w:val="32"/>
          <w:szCs w:val="32"/>
          <w:highlight w:val="none"/>
          <w:u w:val="none"/>
          <w14:textFill>
            <w14:solidFill>
              <w14:schemeClr w14:val="tx1"/>
            </w14:solidFill>
          </w14:textFill>
        </w:rPr>
        <w:t>9）</w:t>
      </w:r>
    </w:p>
    <w:p>
      <w:pPr>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14:textFill>
            <w14:solidFill>
              <w14:schemeClr w14:val="tx1"/>
            </w14:solidFill>
          </w14:textFill>
        </w:rPr>
        <w:t>10.</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u w:val="none"/>
          <w14:textFill>
            <w14:solidFill>
              <w14:schemeClr w14:val="tx1"/>
            </w14:solidFill>
          </w14:textFill>
        </w:rPr>
        <w:t>项目</w:t>
      </w:r>
      <w:r>
        <w:rPr>
          <w:rFonts w:ascii="Times New Roman" w:hAnsi="Times New Roman" w:eastAsia="仿宋_GB2312"/>
          <w:color w:val="000000" w:themeColor="text1"/>
          <w:sz w:val="32"/>
          <w:szCs w:val="32"/>
          <w:highlight w:val="none"/>
          <w:u w:val="none"/>
          <w14:textFill>
            <w14:solidFill>
              <w14:schemeClr w14:val="tx1"/>
            </w14:solidFill>
          </w14:textFill>
        </w:rPr>
        <w:t>支出总表（</w:t>
      </w:r>
      <w:r>
        <w:rPr>
          <w:rFonts w:hint="eastAsia" w:ascii="Times New Roman" w:hAnsi="Times New Roman" w:eastAsia="仿宋_GB2312"/>
          <w:color w:val="000000" w:themeColor="text1"/>
          <w:sz w:val="32"/>
          <w:szCs w:val="32"/>
          <w:highlight w:val="none"/>
          <w:u w:val="none"/>
          <w14:textFill>
            <w14:solidFill>
              <w14:schemeClr w14:val="tx1"/>
            </w14:solidFill>
          </w14:textFill>
        </w:rPr>
        <w:t>附件表</w:t>
      </w:r>
      <w:r>
        <w:rPr>
          <w:rFonts w:ascii="Times New Roman" w:hAnsi="Times New Roman" w:eastAsia="仿宋_GB2312"/>
          <w:color w:val="000000" w:themeColor="text1"/>
          <w:sz w:val="32"/>
          <w:szCs w:val="32"/>
          <w:highlight w:val="none"/>
          <w:u w:val="none"/>
          <w14:textFill>
            <w14:solidFill>
              <w14:schemeClr w14:val="tx1"/>
            </w14:solidFill>
          </w14:textFill>
        </w:rPr>
        <w:t>10）</w:t>
      </w:r>
    </w:p>
    <w:p>
      <w:pPr>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11.</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政府采购支出表（</w:t>
      </w:r>
      <w:r>
        <w:rPr>
          <w:rFonts w:hint="eastAsia" w:ascii="Times New Roman" w:hAnsi="Times New Roman" w:eastAsia="仿宋_GB2312"/>
          <w:color w:val="000000" w:themeColor="text1"/>
          <w:sz w:val="32"/>
          <w:szCs w:val="32"/>
          <w:highlight w:val="none"/>
          <w:u w:val="none"/>
          <w14:textFill>
            <w14:solidFill>
              <w14:schemeClr w14:val="tx1"/>
            </w14:solidFill>
          </w14:textFill>
        </w:rPr>
        <w:t>附件表</w:t>
      </w:r>
      <w:r>
        <w:rPr>
          <w:rFonts w:ascii="Times New Roman" w:hAnsi="Times New Roman" w:eastAsia="仿宋_GB2312"/>
          <w:color w:val="000000" w:themeColor="text1"/>
          <w:sz w:val="32"/>
          <w:szCs w:val="32"/>
          <w:highlight w:val="none"/>
          <w:u w:val="none"/>
          <w14:textFill>
            <w14:solidFill>
              <w14:schemeClr w14:val="tx1"/>
            </w14:solidFill>
          </w14:textFill>
        </w:rPr>
        <w:t>11）</w:t>
      </w:r>
    </w:p>
    <w:p>
      <w:pPr>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12.</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政府购买服务支出表（</w:t>
      </w:r>
      <w:r>
        <w:rPr>
          <w:rFonts w:hint="eastAsia" w:ascii="Times New Roman" w:hAnsi="Times New Roman" w:eastAsia="仿宋_GB2312"/>
          <w:color w:val="000000" w:themeColor="text1"/>
          <w:sz w:val="32"/>
          <w:szCs w:val="32"/>
          <w:highlight w:val="none"/>
          <w:u w:val="none"/>
          <w14:textFill>
            <w14:solidFill>
              <w14:schemeClr w14:val="tx1"/>
            </w14:solidFill>
          </w14:textFill>
        </w:rPr>
        <w:t>附件表</w:t>
      </w:r>
      <w:r>
        <w:rPr>
          <w:rFonts w:ascii="Times New Roman" w:hAnsi="Times New Roman" w:eastAsia="仿宋_GB2312"/>
          <w:color w:val="000000" w:themeColor="text1"/>
          <w:sz w:val="32"/>
          <w:szCs w:val="32"/>
          <w:highlight w:val="none"/>
          <w:u w:val="none"/>
          <w14:textFill>
            <w14:solidFill>
              <w14:schemeClr w14:val="tx1"/>
            </w14:solidFill>
          </w14:textFill>
        </w:rPr>
        <w:t>12）</w:t>
      </w:r>
    </w:p>
    <w:p>
      <w:pPr>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1</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3</w:t>
      </w:r>
      <w:r>
        <w:rPr>
          <w:rFonts w:ascii="Times New Roman" w:hAnsi="Times New Roman" w:eastAsia="仿宋_GB2312"/>
          <w:color w:val="000000" w:themeColor="text1"/>
          <w:sz w:val="32"/>
          <w:szCs w:val="32"/>
          <w:highlight w:val="none"/>
          <w:u w:val="none"/>
          <w14:textFill>
            <w14:solidFill>
              <w14:schemeClr w14:val="tx1"/>
            </w14:solidFill>
          </w14:textFill>
        </w:rPr>
        <w:t>.</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“三公”经费支出预算表（</w:t>
      </w:r>
      <w:r>
        <w:rPr>
          <w:rFonts w:hint="eastAsia" w:ascii="Times New Roman" w:hAnsi="Times New Roman" w:eastAsia="仿宋_GB2312"/>
          <w:color w:val="000000" w:themeColor="text1"/>
          <w:sz w:val="32"/>
          <w:szCs w:val="32"/>
          <w:highlight w:val="none"/>
          <w:u w:val="none"/>
          <w14:textFill>
            <w14:solidFill>
              <w14:schemeClr w14:val="tx1"/>
            </w14:solidFill>
          </w14:textFill>
        </w:rPr>
        <w:t>附件表</w:t>
      </w:r>
      <w:r>
        <w:rPr>
          <w:rFonts w:ascii="Times New Roman" w:hAnsi="Times New Roman" w:eastAsia="仿宋_GB2312"/>
          <w:color w:val="000000" w:themeColor="text1"/>
          <w:sz w:val="32"/>
          <w:szCs w:val="32"/>
          <w:highlight w:val="none"/>
          <w:u w:val="none"/>
          <w14:textFill>
            <w14:solidFill>
              <w14:schemeClr w14:val="tx1"/>
            </w14:solidFill>
          </w14:textFill>
        </w:rPr>
        <w:t>1</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3</w:t>
      </w:r>
      <w:r>
        <w:rPr>
          <w:rFonts w:ascii="Times New Roman" w:hAnsi="Times New Roman" w:eastAsia="仿宋_GB2312"/>
          <w:color w:val="000000" w:themeColor="text1"/>
          <w:sz w:val="32"/>
          <w:szCs w:val="32"/>
          <w:highlight w:val="none"/>
          <w:u w:val="none"/>
          <w14:textFill>
            <w14:solidFill>
              <w14:schemeClr w14:val="tx1"/>
            </w14:solidFill>
          </w14:textFill>
        </w:rPr>
        <w:t>）</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1</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4</w:t>
      </w:r>
      <w:r>
        <w:rPr>
          <w:rFonts w:ascii="Times New Roman" w:hAnsi="Times New Roman" w:eastAsia="仿宋_GB2312"/>
          <w:color w:val="000000" w:themeColor="text1"/>
          <w:sz w:val="32"/>
          <w:szCs w:val="32"/>
          <w:highlight w:val="none"/>
          <w:u w:val="none"/>
          <w14:textFill>
            <w14:solidFill>
              <w14:schemeClr w14:val="tx1"/>
            </w14:solidFill>
          </w14:textFill>
        </w:rPr>
        <w:t>.</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3年</w:t>
      </w:r>
      <w:r>
        <w:rPr>
          <w:rFonts w:ascii="Times New Roman" w:hAnsi="Times New Roman" w:eastAsia="仿宋_GB2312"/>
          <w:color w:val="000000" w:themeColor="text1"/>
          <w:sz w:val="32"/>
          <w:szCs w:val="32"/>
          <w:highlight w:val="none"/>
          <w14:textFill>
            <w14:solidFill>
              <w14:schemeClr w14:val="tx1"/>
            </w14:solidFill>
          </w14:textFill>
        </w:rPr>
        <w:t>项目支出绩效目标表（</w:t>
      </w:r>
      <w:r>
        <w:rPr>
          <w:rFonts w:hint="eastAsia" w:ascii="Times New Roman" w:hAnsi="Times New Roman" w:eastAsia="仿宋_GB2312"/>
          <w:color w:val="000000" w:themeColor="text1"/>
          <w:sz w:val="32"/>
          <w:szCs w:val="32"/>
          <w:highlight w:val="none"/>
          <w14:textFill>
            <w14:solidFill>
              <w14:schemeClr w14:val="tx1"/>
            </w14:solidFill>
          </w14:textFill>
        </w:rPr>
        <w:t>附件表</w:t>
      </w: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4</w:t>
      </w:r>
      <w:r>
        <w:rPr>
          <w:rFonts w:ascii="Times New Roman" w:hAnsi="Times New Roman" w:eastAsia="仿宋_GB2312"/>
          <w:color w:val="000000" w:themeColor="text1"/>
          <w:sz w:val="32"/>
          <w:szCs w:val="32"/>
          <w:highlight w:val="none"/>
          <w14:textFill>
            <w14:solidFill>
              <w14:schemeClr w14:val="tx1"/>
            </w14:solidFill>
          </w14:textFill>
        </w:rPr>
        <w:t>）</w:t>
      </w:r>
    </w:p>
    <w:p>
      <w:pPr>
        <w:spacing w:line="560" w:lineRule="exact"/>
        <w:jc w:val="center"/>
        <w:rPr>
          <w:rFonts w:ascii="Times New Roman" w:hAnsi="Times New Roman" w:eastAsia="黑体"/>
          <w:color w:val="000000" w:themeColor="text1"/>
          <w:sz w:val="36"/>
          <w:szCs w:val="36"/>
          <w:highlight w:val="none"/>
          <w14:textFill>
            <w14:solidFill>
              <w14:schemeClr w14:val="tx1"/>
            </w14:solidFill>
          </w14:textFill>
        </w:rPr>
      </w:pPr>
    </w:p>
    <w:p>
      <w:pPr>
        <w:numPr>
          <w:ilvl w:val="0"/>
          <w:numId w:val="3"/>
        </w:numPr>
        <w:spacing w:line="560" w:lineRule="exact"/>
        <w:jc w:val="center"/>
        <w:rPr>
          <w:rFonts w:ascii="Times New Roman" w:hAnsi="Times New Roman" w:eastAsia="黑体"/>
          <w:color w:val="000000" w:themeColor="text1"/>
          <w:sz w:val="36"/>
          <w:szCs w:val="36"/>
          <w:highlight w:val="none"/>
          <w14:textFill>
            <w14:solidFill>
              <w14:schemeClr w14:val="tx1"/>
            </w14:solidFill>
          </w14:textFill>
        </w:rPr>
      </w:pPr>
      <w:r>
        <w:rPr>
          <w:rFonts w:ascii="Times New Roman" w:hAnsi="Times New Roman" w:eastAsia="黑体"/>
          <w:color w:val="000000" w:themeColor="text1"/>
          <w:sz w:val="36"/>
          <w:szCs w:val="36"/>
          <w:highlight w:val="none"/>
          <w14:textFill>
            <w14:solidFill>
              <w14:schemeClr w14:val="tx1"/>
            </w14:solidFill>
          </w14:textFill>
        </w:rPr>
        <w:t xml:space="preserve"> </w:t>
      </w:r>
      <w:r>
        <w:rPr>
          <w:rFonts w:hint="eastAsia" w:ascii="Times New Roman" w:hAnsi="Times New Roman" w:eastAsia="黑体"/>
          <w:color w:val="000000" w:themeColor="text1"/>
          <w:sz w:val="36"/>
          <w:szCs w:val="36"/>
          <w:highlight w:val="none"/>
          <w:lang w:eastAsia="zh-CN"/>
          <w14:textFill>
            <w14:solidFill>
              <w14:schemeClr w14:val="tx1"/>
            </w14:solidFill>
          </w14:textFill>
        </w:rPr>
        <w:t>2023年</w:t>
      </w:r>
      <w:r>
        <w:rPr>
          <w:rFonts w:hint="eastAsia" w:ascii="Times New Roman" w:hAnsi="Times New Roman" w:eastAsia="黑体"/>
          <w:color w:val="000000" w:themeColor="text1"/>
          <w:sz w:val="36"/>
          <w:szCs w:val="36"/>
          <w:highlight w:val="none"/>
          <w:u w:val="none"/>
          <w:lang w:eastAsia="zh-CN"/>
          <w14:textFill>
            <w14:solidFill>
              <w14:schemeClr w14:val="tx1"/>
            </w14:solidFill>
          </w14:textFill>
        </w:rPr>
        <w:t>部门</w:t>
      </w:r>
      <w:r>
        <w:rPr>
          <w:rFonts w:ascii="Times New Roman" w:hAnsi="Times New Roman" w:eastAsia="黑体"/>
          <w:color w:val="000000" w:themeColor="text1"/>
          <w:sz w:val="36"/>
          <w:szCs w:val="36"/>
          <w:highlight w:val="none"/>
          <w14:textFill>
            <w14:solidFill>
              <w14:schemeClr w14:val="tx1"/>
            </w14:solidFill>
          </w14:textFill>
        </w:rPr>
        <w:t>预算情况说明</w:t>
      </w:r>
    </w:p>
    <w:p>
      <w:pPr>
        <w:widowControl w:val="0"/>
        <w:numPr>
          <w:ilvl w:val="0"/>
          <w:numId w:val="0"/>
        </w:numPr>
        <w:spacing w:line="560" w:lineRule="exact"/>
        <w:jc w:val="both"/>
        <w:rPr>
          <w:rFonts w:ascii="Times New Roman" w:hAnsi="Times New Roman" w:eastAsia="黑体"/>
          <w:color w:val="000000" w:themeColor="text1"/>
          <w:sz w:val="36"/>
          <w:szCs w:val="36"/>
          <w:highlight w:val="none"/>
          <w14:textFill>
            <w14:solidFill>
              <w14:schemeClr w14:val="tx1"/>
            </w14:solidFill>
          </w14:textFill>
        </w:rPr>
      </w:pP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eastAsia="zh-CN"/>
          <w14:textFill>
            <w14:solidFill>
              <w14:schemeClr w14:val="tx1"/>
            </w14:solidFill>
          </w14:textFill>
        </w:rPr>
        <w:t>一</w:t>
      </w:r>
      <w:r>
        <w:rPr>
          <w:rFonts w:ascii="Times New Roman" w:hAnsi="Times New Roman" w:eastAsia="黑体"/>
          <w:color w:val="000000" w:themeColor="text1"/>
          <w:sz w:val="32"/>
          <w:szCs w:val="32"/>
          <w:highlight w:val="none"/>
          <w14:textFill>
            <w14:solidFill>
              <w14:schemeClr w14:val="tx1"/>
            </w14:solidFill>
          </w14:textFill>
        </w:rPr>
        <w:t>、关于</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收支</w:t>
      </w:r>
      <w:r>
        <w:rPr>
          <w:rFonts w:hint="eastAsia" w:ascii="Times New Roman" w:hAnsi="Times New Roman" w:eastAsia="黑体"/>
          <w:color w:val="000000" w:themeColor="text1"/>
          <w:sz w:val="32"/>
          <w:szCs w:val="32"/>
          <w:highlight w:val="none"/>
          <w:lang w:eastAsia="zh-CN"/>
          <w14:textFill>
            <w14:solidFill>
              <w14:schemeClr w14:val="tx1"/>
            </w14:solidFill>
          </w14:textFill>
        </w:rPr>
        <w:t>总表的</w:t>
      </w:r>
      <w:r>
        <w:rPr>
          <w:rFonts w:ascii="Times New Roman" w:hAnsi="Times New Roman" w:eastAsia="黑体"/>
          <w:color w:val="000000" w:themeColor="text1"/>
          <w:sz w:val="32"/>
          <w:szCs w:val="32"/>
          <w:highlight w:val="none"/>
          <w14:textFill>
            <w14:solidFill>
              <w14:schemeClr w14:val="tx1"/>
            </w14:solidFill>
          </w14:textFill>
        </w:rPr>
        <w:t>说明</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按照综合预算</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的</w:t>
      </w:r>
      <w:r>
        <w:rPr>
          <w:rFonts w:ascii="Times New Roman" w:hAnsi="Times New Roman" w:eastAsia="仿宋_GB2312"/>
          <w:color w:val="000000" w:themeColor="text1"/>
          <w:sz w:val="32"/>
          <w:szCs w:val="32"/>
          <w:highlight w:val="none"/>
          <w14:textFill>
            <w14:solidFill>
              <w14:schemeClr w14:val="tx1"/>
            </w14:solidFill>
          </w14:textFill>
        </w:rPr>
        <w:t>原则，</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ascii="Times New Roman" w:hAnsi="Times New Roman" w:eastAsia="仿宋_GB2312"/>
          <w:color w:val="000000" w:themeColor="text1"/>
          <w:sz w:val="32"/>
          <w:szCs w:val="32"/>
          <w:highlight w:val="none"/>
          <w:u w:val="none"/>
          <w14:textFill>
            <w14:solidFill>
              <w14:schemeClr w14:val="tx1"/>
            </w14:solidFill>
          </w14:textFill>
        </w:rPr>
        <w:t>所有收入和支出均纳入</w:t>
      </w:r>
      <w:r>
        <w:rPr>
          <w:rFonts w:hint="eastAsia" w:ascii="Times New Roman" w:hAnsi="Times New Roman" w:eastAsia="仿宋_GB2312"/>
          <w:i w:val="0"/>
          <w:iCs w:val="0"/>
          <w:color w:val="000000" w:themeColor="text1"/>
          <w:sz w:val="32"/>
          <w:szCs w:val="32"/>
          <w:highlight w:val="none"/>
          <w:u w:val="none"/>
          <w:lang w:eastAsia="zh-CN"/>
          <w14:textFill>
            <w14:solidFill>
              <w14:schemeClr w14:val="tx1"/>
            </w14:solidFill>
          </w14:textFill>
        </w:rPr>
        <w:t>部门</w:t>
      </w:r>
      <w:r>
        <w:rPr>
          <w:rFonts w:ascii="Times New Roman" w:hAnsi="Times New Roman" w:eastAsia="仿宋_GB2312"/>
          <w:color w:val="000000" w:themeColor="text1"/>
          <w:sz w:val="32"/>
          <w:szCs w:val="32"/>
          <w:highlight w:val="none"/>
          <w:u w:val="none"/>
          <w14:textFill>
            <w14:solidFill>
              <w14:schemeClr w14:val="tx1"/>
            </w14:solidFill>
          </w14:textFill>
        </w:rPr>
        <w:t>预算管理。</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收支总预算</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683.27</w:t>
      </w:r>
      <w:r>
        <w:rPr>
          <w:rFonts w:ascii="Times New Roman" w:hAnsi="Times New Roman" w:eastAsia="仿宋_GB2312"/>
          <w:color w:val="000000" w:themeColor="text1"/>
          <w:sz w:val="32"/>
          <w:szCs w:val="32"/>
          <w:highlight w:val="none"/>
          <w:u w:val="none"/>
          <w14:textFill>
            <w14:solidFill>
              <w14:schemeClr w14:val="tx1"/>
            </w14:solidFill>
          </w14:textFill>
        </w:rPr>
        <w:t>万元，收入</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全部为</w:t>
      </w:r>
      <w:r>
        <w:rPr>
          <w:rFonts w:ascii="Times New Roman" w:hAnsi="Times New Roman" w:eastAsia="仿宋_GB2312"/>
          <w:color w:val="000000" w:themeColor="text1"/>
          <w:sz w:val="32"/>
          <w:szCs w:val="32"/>
          <w:highlight w:val="none"/>
          <w:u w:val="none"/>
          <w14:textFill>
            <w14:solidFill>
              <w14:schemeClr w14:val="tx1"/>
            </w14:solidFill>
          </w14:textFill>
        </w:rPr>
        <w:t>一般公共预算拨款收入，支出包括</w:t>
      </w:r>
      <w:r>
        <w:rPr>
          <w:rFonts w:ascii="Times New Roman" w:hAnsi="Times New Roman" w:eastAsia="仿宋_GB2312"/>
          <w:color w:val="000000" w:themeColor="text1"/>
          <w:sz w:val="32"/>
          <w:szCs w:val="32"/>
          <w:highlight w:val="none"/>
          <w14:textFill>
            <w14:solidFill>
              <w14:schemeClr w14:val="tx1"/>
            </w14:solidFill>
          </w14:textFill>
        </w:rPr>
        <w:t>社会保障和就业支出、</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城乡社区支出</w:t>
      </w:r>
      <w:r>
        <w:rPr>
          <w:rFonts w:ascii="Times New Roman" w:hAnsi="Times New Roman" w:eastAsia="仿宋_GB2312"/>
          <w:color w:val="000000" w:themeColor="text1"/>
          <w:sz w:val="32"/>
          <w:szCs w:val="32"/>
          <w:highlight w:val="none"/>
          <w14:textFill>
            <w14:solidFill>
              <w14:schemeClr w14:val="tx1"/>
            </w14:solidFill>
          </w14:textFill>
        </w:rPr>
        <w:t>、住房保障支出。</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eastAsia="zh-CN"/>
          <w14:textFill>
            <w14:solidFill>
              <w14:schemeClr w14:val="tx1"/>
            </w14:solidFill>
          </w14:textFill>
        </w:rPr>
        <w:t>二</w:t>
      </w:r>
      <w:r>
        <w:rPr>
          <w:rFonts w:ascii="Times New Roman" w:hAnsi="Times New Roman" w:eastAsia="黑体"/>
          <w:color w:val="000000" w:themeColor="text1"/>
          <w:sz w:val="32"/>
          <w:szCs w:val="32"/>
          <w:highlight w:val="none"/>
          <w14:textFill>
            <w14:solidFill>
              <w14:schemeClr w14:val="tx1"/>
            </w14:solidFill>
          </w14:textFill>
        </w:rPr>
        <w:t>、关于</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收入</w:t>
      </w:r>
      <w:r>
        <w:rPr>
          <w:rFonts w:hint="eastAsia" w:ascii="Times New Roman" w:hAnsi="Times New Roman" w:eastAsia="黑体"/>
          <w:color w:val="000000" w:themeColor="text1"/>
          <w:sz w:val="32"/>
          <w:szCs w:val="32"/>
          <w:highlight w:val="none"/>
          <w:lang w:eastAsia="zh-CN"/>
          <w14:textFill>
            <w14:solidFill>
              <w14:schemeClr w14:val="tx1"/>
            </w14:solidFill>
          </w14:textFill>
        </w:rPr>
        <w:t>总表的</w:t>
      </w:r>
      <w:r>
        <w:rPr>
          <w:rFonts w:ascii="Times New Roman" w:hAnsi="Times New Roman" w:eastAsia="黑体"/>
          <w:color w:val="000000" w:themeColor="text1"/>
          <w:sz w:val="32"/>
          <w:szCs w:val="32"/>
          <w:highlight w:val="none"/>
          <w14:textFill>
            <w14:solidFill>
              <w14:schemeClr w14:val="tx1"/>
            </w14:solidFill>
          </w14:textFill>
        </w:rPr>
        <w:t>说明</w:t>
      </w:r>
    </w:p>
    <w:p>
      <w:pPr>
        <w:adjustRightInd w:val="0"/>
        <w:snapToGrid w:val="0"/>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收入预算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683.27</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收入全部是</w:t>
      </w:r>
      <w:r>
        <w:rPr>
          <w:rFonts w:ascii="Times New Roman" w:hAnsi="Times New Roman" w:eastAsia="仿宋_GB2312"/>
          <w:color w:val="000000" w:themeColor="text1"/>
          <w:sz w:val="32"/>
          <w:szCs w:val="32"/>
          <w:highlight w:val="none"/>
          <w14:textFill>
            <w14:solidFill>
              <w14:schemeClr w14:val="tx1"/>
            </w14:solidFill>
          </w14:textFill>
        </w:rPr>
        <w:t>一般公共预算拨款收入</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683.27</w:t>
      </w:r>
      <w:r>
        <w:rPr>
          <w:rFonts w:ascii="Times New Roman" w:hAnsi="Times New Roman" w:eastAsia="仿宋_GB2312"/>
          <w:color w:val="000000" w:themeColor="text1"/>
          <w:sz w:val="32"/>
          <w:szCs w:val="32"/>
          <w:highlight w:val="none"/>
          <w14:textFill>
            <w14:solidFill>
              <w14:schemeClr w14:val="tx1"/>
            </w14:solidFill>
          </w14:textFill>
        </w:rPr>
        <w:t>万元，占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100</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较2022年</w:t>
      </w:r>
      <w:r>
        <w:rPr>
          <w:rFonts w:ascii="Times New Roman" w:hAnsi="Times New Roman" w:eastAsia="仿宋_GB2312"/>
          <w:color w:val="000000" w:themeColor="text1"/>
          <w:sz w:val="32"/>
          <w:szCs w:val="32"/>
          <w:highlight w:val="none"/>
          <w14:textFill>
            <w14:solidFill>
              <w14:schemeClr w14:val="tx1"/>
            </w14:solidFill>
          </w14:textFill>
        </w:rPr>
        <w:t>预算增加</w:t>
      </w:r>
      <w:r>
        <w:rPr>
          <w:rFonts w:hint="default" w:ascii="Times New Roman" w:hAnsi="Times New Roman" w:eastAsia="仿宋_GB2312"/>
          <w:color w:val="000000" w:themeColor="text1"/>
          <w:sz w:val="32"/>
          <w:szCs w:val="32"/>
          <w:highlight w:val="none"/>
          <w:lang w:val="en"/>
          <w14:textFill>
            <w14:solidFill>
              <w14:schemeClr w14:val="tx1"/>
            </w14:solidFill>
          </w14:textFill>
        </w:rPr>
        <w:t>204.53</w:t>
      </w:r>
      <w:r>
        <w:rPr>
          <w:rFonts w:ascii="Times New Roman" w:hAnsi="Times New Roman" w:eastAsia="仿宋_GB2312"/>
          <w:color w:val="000000" w:themeColor="text1"/>
          <w:sz w:val="32"/>
          <w:szCs w:val="32"/>
          <w:highlight w:val="none"/>
          <w14:textFill>
            <w14:solidFill>
              <w14:schemeClr w14:val="tx1"/>
            </w14:solidFill>
          </w14:textFill>
        </w:rPr>
        <w:t>万元，增长</w:t>
      </w:r>
      <w:r>
        <w:rPr>
          <w:rFonts w:hint="default" w:ascii="Times New Roman" w:hAnsi="Times New Roman" w:eastAsia="仿宋_GB2312"/>
          <w:color w:val="000000" w:themeColor="text1"/>
          <w:sz w:val="32"/>
          <w:szCs w:val="32"/>
          <w:highlight w:val="none"/>
          <w:lang w:val="en"/>
          <w14:textFill>
            <w14:solidFill>
              <w14:schemeClr w14:val="tx1"/>
            </w14:solidFill>
          </w14:textFill>
        </w:rPr>
        <w:t>42.72</w:t>
      </w:r>
      <w:r>
        <w:rPr>
          <w:rFonts w:ascii="Times New Roman" w:hAnsi="Times New Roman" w:eastAsia="仿宋_GB2312"/>
          <w:color w:val="000000" w:themeColor="text1"/>
          <w:sz w:val="32"/>
          <w:szCs w:val="32"/>
          <w:highlight w:val="none"/>
          <w14:textFill>
            <w14:solidFill>
              <w14:schemeClr w14:val="tx1"/>
            </w14:solidFill>
          </w14:textFill>
        </w:rPr>
        <w:t>%，增长原因主要是</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基础绩效奖列入年度预算</w:t>
      </w:r>
      <w:r>
        <w:rPr>
          <w:rFonts w:ascii="Times New Roman" w:hAnsi="Times New Roman" w:eastAsia="仿宋_GB2312"/>
          <w:color w:val="000000" w:themeColor="text1"/>
          <w:sz w:val="32"/>
          <w:szCs w:val="32"/>
          <w:highlight w:val="none"/>
          <w14:textFill>
            <w14:solidFill>
              <w14:schemeClr w14:val="tx1"/>
            </w14:solidFill>
          </w14:textFill>
        </w:rPr>
        <w:t>。</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eastAsia="zh-CN"/>
          <w14:textFill>
            <w14:solidFill>
              <w14:schemeClr w14:val="tx1"/>
            </w14:solidFill>
          </w14:textFill>
        </w:rPr>
        <w:t>三</w:t>
      </w:r>
      <w:r>
        <w:rPr>
          <w:rFonts w:ascii="Times New Roman" w:hAnsi="Times New Roman" w:eastAsia="黑体"/>
          <w:color w:val="000000" w:themeColor="text1"/>
          <w:sz w:val="32"/>
          <w:szCs w:val="32"/>
          <w:highlight w:val="none"/>
          <w14:textFill>
            <w14:solidFill>
              <w14:schemeClr w14:val="tx1"/>
            </w14:solidFill>
          </w14:textFill>
        </w:rPr>
        <w:t>、关于</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支出</w:t>
      </w:r>
      <w:r>
        <w:rPr>
          <w:rFonts w:hint="eastAsia" w:ascii="Times New Roman" w:hAnsi="Times New Roman" w:eastAsia="黑体"/>
          <w:color w:val="000000" w:themeColor="text1"/>
          <w:sz w:val="32"/>
          <w:szCs w:val="32"/>
          <w:highlight w:val="none"/>
          <w:lang w:eastAsia="zh-CN"/>
          <w14:textFill>
            <w14:solidFill>
              <w14:schemeClr w14:val="tx1"/>
            </w14:solidFill>
          </w14:textFill>
        </w:rPr>
        <w:t>总表的</w:t>
      </w:r>
      <w:r>
        <w:rPr>
          <w:rFonts w:ascii="Times New Roman" w:hAnsi="Times New Roman" w:eastAsia="黑体"/>
          <w:color w:val="000000" w:themeColor="text1"/>
          <w:sz w:val="32"/>
          <w:szCs w:val="32"/>
          <w:highlight w:val="none"/>
          <w14:textFill>
            <w14:solidFill>
              <w14:schemeClr w14:val="tx1"/>
            </w14:solidFill>
          </w14:textFill>
        </w:rPr>
        <w:t>说明</w:t>
      </w:r>
    </w:p>
    <w:p>
      <w:pPr>
        <w:adjustRightInd w:val="0"/>
        <w:snapToGrid w:val="0"/>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u w:val="none"/>
          <w14:textFill>
            <w14:solidFill>
              <w14:schemeClr w14:val="tx1"/>
            </w14:solidFill>
          </w14:textFill>
        </w:rPr>
        <w:t>支出预算</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683.27</w:t>
      </w:r>
      <w:r>
        <w:rPr>
          <w:rFonts w:ascii="Times New Roman" w:hAnsi="Times New Roman" w:eastAsia="仿宋_GB2312"/>
          <w:color w:val="000000" w:themeColor="text1"/>
          <w:sz w:val="32"/>
          <w:szCs w:val="32"/>
          <w:highlight w:val="none"/>
          <w:u w:val="none"/>
          <w14:textFill>
            <w14:solidFill>
              <w14:schemeClr w14:val="tx1"/>
            </w14:solidFill>
          </w14:textFill>
        </w:rPr>
        <w:t>万元，</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较2022年</w:t>
      </w:r>
      <w:r>
        <w:rPr>
          <w:rFonts w:ascii="Times New Roman" w:hAnsi="Times New Roman" w:eastAsia="仿宋_GB2312"/>
          <w:color w:val="000000" w:themeColor="text1"/>
          <w:sz w:val="32"/>
          <w:szCs w:val="32"/>
          <w:highlight w:val="none"/>
          <w:u w:val="none"/>
          <w14:textFill>
            <w14:solidFill>
              <w14:schemeClr w14:val="tx1"/>
            </w14:solidFill>
          </w14:textFill>
        </w:rPr>
        <w:t>预算增加</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204.53</w:t>
      </w:r>
      <w:r>
        <w:rPr>
          <w:rFonts w:ascii="Times New Roman" w:hAnsi="Times New Roman" w:eastAsia="仿宋_GB2312"/>
          <w:color w:val="000000" w:themeColor="text1"/>
          <w:sz w:val="32"/>
          <w:szCs w:val="32"/>
          <w:highlight w:val="none"/>
          <w:u w:val="none"/>
          <w14:textFill>
            <w14:solidFill>
              <w14:schemeClr w14:val="tx1"/>
            </w14:solidFill>
          </w14:textFill>
        </w:rPr>
        <w:t>万元，增长</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42.72</w:t>
      </w:r>
      <w:r>
        <w:rPr>
          <w:rFonts w:ascii="Times New Roman" w:hAnsi="Times New Roman" w:eastAsia="仿宋_GB2312"/>
          <w:color w:val="000000" w:themeColor="text1"/>
          <w:sz w:val="32"/>
          <w:szCs w:val="32"/>
          <w:highlight w:val="none"/>
          <w:u w:val="none"/>
          <w14:textFill>
            <w14:solidFill>
              <w14:schemeClr w14:val="tx1"/>
            </w14:solidFill>
          </w14:textFill>
        </w:rPr>
        <w:t>%，增长原因主要是</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基础绩效奖列入年度预算</w:t>
      </w:r>
      <w:r>
        <w:rPr>
          <w:rFonts w:ascii="Times New Roman" w:hAnsi="Times New Roman" w:eastAsia="仿宋_GB2312"/>
          <w:color w:val="000000" w:themeColor="text1"/>
          <w:sz w:val="32"/>
          <w:szCs w:val="32"/>
          <w:highlight w:val="none"/>
          <w:u w:val="none"/>
          <w14:textFill>
            <w14:solidFill>
              <w14:schemeClr w14:val="tx1"/>
            </w14:solidFill>
          </w14:textFill>
        </w:rPr>
        <w:t>。其中，基本支出</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683.27</w:t>
      </w:r>
      <w:r>
        <w:rPr>
          <w:rFonts w:ascii="Times New Roman" w:hAnsi="Times New Roman" w:eastAsia="仿宋_GB2312"/>
          <w:color w:val="000000" w:themeColor="text1"/>
          <w:sz w:val="32"/>
          <w:szCs w:val="32"/>
          <w:highlight w:val="none"/>
          <w:u w:val="none"/>
          <w14:textFill>
            <w14:solidFill>
              <w14:schemeClr w14:val="tx1"/>
            </w14:solidFill>
          </w14:textFill>
        </w:rPr>
        <w:t>万元，占</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100</w:t>
      </w:r>
      <w:r>
        <w:rPr>
          <w:rFonts w:ascii="Times New Roman" w:hAnsi="Times New Roman" w:eastAsia="仿宋_GB2312"/>
          <w:color w:val="000000" w:themeColor="text1"/>
          <w:sz w:val="32"/>
          <w:szCs w:val="32"/>
          <w:highlight w:val="none"/>
          <w:u w:val="none"/>
          <w14:textFill>
            <w14:solidFill>
              <w14:schemeClr w14:val="tx1"/>
            </w14:solidFill>
          </w14:textFill>
        </w:rPr>
        <w:t>%，主要用于保障机构日常运转、完成日常工作任务等；项目支出</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u w:val="none"/>
          <w14:textFill>
            <w14:solidFill>
              <w14:schemeClr w14:val="tx1"/>
            </w14:solidFill>
          </w14:textFill>
        </w:rPr>
        <w:t>万元，</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未安排项目支出</w:t>
      </w:r>
      <w:r>
        <w:rPr>
          <w:rFonts w:ascii="Times New Roman" w:hAnsi="Times New Roman" w:eastAsia="仿宋_GB2312"/>
          <w:color w:val="000000" w:themeColor="text1"/>
          <w:sz w:val="32"/>
          <w:szCs w:val="32"/>
          <w:highlight w:val="none"/>
          <w:u w:val="none"/>
          <w14:textFill>
            <w14:solidFill>
              <w14:schemeClr w14:val="tx1"/>
            </w14:solidFill>
          </w14:textFill>
        </w:rPr>
        <w:t>。</w:t>
      </w:r>
    </w:p>
    <w:p>
      <w:pPr>
        <w:spacing w:line="560" w:lineRule="exact"/>
        <w:jc w:val="left"/>
        <w:rPr>
          <w:rFonts w:ascii="Times New Roman" w:hAnsi="Times New Roman" w:eastAsia="黑体"/>
          <w:color w:val="000000" w:themeColor="text1"/>
          <w:sz w:val="32"/>
          <w:szCs w:val="32"/>
          <w:highlight w:val="none"/>
          <w:u w:val="none"/>
          <w14:textFill>
            <w14:solidFill>
              <w14:schemeClr w14:val="tx1"/>
            </w14:solidFill>
          </w14:textFill>
        </w:rPr>
      </w:pPr>
      <w:r>
        <w:rPr>
          <w:rFonts w:ascii="Times New Roman" w:hAnsi="Times New Roman" w:eastAsia="黑体"/>
          <w:color w:val="000000" w:themeColor="text1"/>
          <w:sz w:val="36"/>
          <w:szCs w:val="36"/>
          <w:highlight w:val="none"/>
          <w:u w:val="none"/>
          <w14:textFill>
            <w14:solidFill>
              <w14:schemeClr w14:val="tx1"/>
            </w14:solidFill>
          </w14:textFill>
        </w:rPr>
        <w:t xml:space="preserve">    </w:t>
      </w:r>
      <w:r>
        <w:rPr>
          <w:rFonts w:hint="eastAsia" w:ascii="Times New Roman" w:hAnsi="Times New Roman" w:eastAsia="黑体"/>
          <w:color w:val="000000" w:themeColor="text1"/>
          <w:sz w:val="32"/>
          <w:szCs w:val="32"/>
          <w:highlight w:val="none"/>
          <w:u w:val="none"/>
          <w:lang w:eastAsia="zh-CN"/>
          <w14:textFill>
            <w14:solidFill>
              <w14:schemeClr w14:val="tx1"/>
            </w14:solidFill>
          </w14:textFill>
        </w:rPr>
        <w:t>四</w:t>
      </w:r>
      <w:r>
        <w:rPr>
          <w:rFonts w:ascii="Times New Roman" w:hAnsi="Times New Roman" w:eastAsia="黑体"/>
          <w:color w:val="000000" w:themeColor="text1"/>
          <w:sz w:val="32"/>
          <w:szCs w:val="32"/>
          <w:highlight w:val="none"/>
          <w:u w:val="none"/>
          <w14:textFill>
            <w14:solidFill>
              <w14:schemeClr w14:val="tx1"/>
            </w14:solidFill>
          </w14:textFill>
        </w:rPr>
        <w:t>、关于</w:t>
      </w:r>
      <w:r>
        <w:rPr>
          <w:rFonts w:hint="eastAsia" w:ascii="Times New Roman" w:hAnsi="Times New Roman" w:eastAsia="黑体"/>
          <w:color w:val="000000" w:themeColor="text1"/>
          <w:sz w:val="32"/>
          <w:szCs w:val="32"/>
          <w:highlight w:val="none"/>
          <w:u w:val="none"/>
          <w:lang w:eastAsia="zh-CN"/>
          <w14:textFill>
            <w14:solidFill>
              <w14:schemeClr w14:val="tx1"/>
            </w14:solidFill>
          </w14:textFill>
        </w:rPr>
        <w:t>2023年</w:t>
      </w:r>
      <w:r>
        <w:rPr>
          <w:rFonts w:ascii="Times New Roman" w:hAnsi="Times New Roman" w:eastAsia="黑体"/>
          <w:color w:val="000000" w:themeColor="text1"/>
          <w:sz w:val="32"/>
          <w:szCs w:val="32"/>
          <w:highlight w:val="none"/>
          <w:u w:val="none"/>
          <w14:textFill>
            <w14:solidFill>
              <w14:schemeClr w14:val="tx1"/>
            </w14:solidFill>
          </w14:textFill>
        </w:rPr>
        <w:t>财政拨款收支</w:t>
      </w:r>
      <w:r>
        <w:rPr>
          <w:rFonts w:hint="eastAsia" w:ascii="Times New Roman" w:hAnsi="Times New Roman" w:eastAsia="黑体"/>
          <w:color w:val="000000" w:themeColor="text1"/>
          <w:sz w:val="32"/>
          <w:szCs w:val="32"/>
          <w:highlight w:val="none"/>
          <w:u w:val="none"/>
          <w:lang w:eastAsia="zh-CN"/>
          <w14:textFill>
            <w14:solidFill>
              <w14:schemeClr w14:val="tx1"/>
            </w14:solidFill>
          </w14:textFill>
        </w:rPr>
        <w:t>总表的</w:t>
      </w:r>
      <w:r>
        <w:rPr>
          <w:rFonts w:ascii="Times New Roman" w:hAnsi="Times New Roman" w:eastAsia="黑体"/>
          <w:color w:val="000000" w:themeColor="text1"/>
          <w:sz w:val="32"/>
          <w:szCs w:val="32"/>
          <w:highlight w:val="none"/>
          <w:u w:val="none"/>
          <w14:textFill>
            <w14:solidFill>
              <w14:schemeClr w14:val="tx1"/>
            </w14:solidFill>
          </w14:textFill>
        </w:rPr>
        <w:t>说明</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202</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3年</w:t>
      </w:r>
      <w:r>
        <w:rPr>
          <w:rFonts w:ascii="Times New Roman" w:hAnsi="Times New Roman" w:eastAsia="仿宋_GB2312"/>
          <w:color w:val="000000" w:themeColor="text1"/>
          <w:sz w:val="32"/>
          <w:szCs w:val="32"/>
          <w:highlight w:val="none"/>
          <w14:textFill>
            <w14:solidFill>
              <w14:schemeClr w14:val="tx1"/>
            </w14:solidFill>
          </w14:textFill>
        </w:rPr>
        <w:t>财政拨款收支预算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683.27</w:t>
      </w:r>
      <w:r>
        <w:rPr>
          <w:rFonts w:ascii="Times New Roman" w:hAnsi="Times New Roman" w:eastAsia="仿宋_GB2312"/>
          <w:color w:val="000000" w:themeColor="text1"/>
          <w:sz w:val="32"/>
          <w:szCs w:val="32"/>
          <w:highlight w:val="none"/>
          <w14:textFill>
            <w14:solidFill>
              <w14:schemeClr w14:val="tx1"/>
            </w14:solidFill>
          </w14:textFill>
        </w:rPr>
        <w:t>万元。收入按资金来源分</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全部</w:t>
      </w:r>
      <w:r>
        <w:rPr>
          <w:rFonts w:ascii="Times New Roman" w:hAnsi="Times New Roman" w:eastAsia="仿宋_GB2312"/>
          <w:color w:val="000000" w:themeColor="text1"/>
          <w:sz w:val="32"/>
          <w:szCs w:val="32"/>
          <w:highlight w:val="none"/>
          <w14:textFill>
            <w14:solidFill>
              <w14:schemeClr w14:val="tx1"/>
            </w14:solidFill>
          </w14:textFill>
        </w:rPr>
        <w:t>为一般公共预算拨款；按资金年度分为</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全部为</w:t>
      </w:r>
      <w:r>
        <w:rPr>
          <w:rFonts w:ascii="Times New Roman" w:hAnsi="Times New Roman" w:eastAsia="仿宋_GB2312"/>
          <w:color w:val="000000" w:themeColor="text1"/>
          <w:sz w:val="32"/>
          <w:szCs w:val="32"/>
          <w:highlight w:val="none"/>
          <w14:textFill>
            <w14:solidFill>
              <w14:schemeClr w14:val="tx1"/>
            </w14:solidFill>
          </w14:textFill>
        </w:rPr>
        <w:t>当年财政拨款收入。</w:t>
      </w:r>
    </w:p>
    <w:p>
      <w:pPr>
        <w:pStyle w:val="5"/>
        <w:widowControl w:val="0"/>
        <w:adjustRightInd w:val="0"/>
        <w:snapToGrid w:val="0"/>
        <w:spacing w:before="0" w:beforeAutospacing="0" w:after="0" w:afterAutospacing="0" w:line="560" w:lineRule="exact"/>
        <w:ind w:firstLine="640" w:firstLineChars="200"/>
        <w:rPr>
          <w:rFonts w:ascii="Times New Roman" w:hAnsi="Times New Roman" w:eastAsia="楷体" w:cs="Times New Roman"/>
          <w:color w:val="FF0000"/>
          <w:kern w:val="2"/>
          <w:sz w:val="32"/>
          <w:szCs w:val="32"/>
          <w:highlight w:val="none"/>
        </w:rPr>
      </w:pPr>
      <w:r>
        <w:rPr>
          <w:rFonts w:ascii="Times New Roman" w:hAnsi="Times New Roman" w:eastAsia="仿宋_GB2312" w:cs="Times New Roman"/>
          <w:color w:val="000000" w:themeColor="text1"/>
          <w:kern w:val="2"/>
          <w:sz w:val="32"/>
          <w:szCs w:val="32"/>
          <w:highlight w:val="none"/>
          <w14:textFill>
            <w14:solidFill>
              <w14:schemeClr w14:val="tx1"/>
            </w14:solidFill>
          </w14:textFill>
        </w:rPr>
        <w:t>支出按功能分类分为：社会保障和就业支出</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35.4</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万元，占</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5.18</w:t>
      </w:r>
      <w:r>
        <w:rPr>
          <w:rFonts w:ascii="Times New Roman" w:hAnsi="Times New Roman" w:eastAsia="仿宋_GB2312" w:cs="Times New Roman"/>
          <w:color w:val="000000" w:themeColor="text1"/>
          <w:kern w:val="2"/>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eastAsia="zh-CN"/>
          <w14:textFill>
            <w14:solidFill>
              <w14:schemeClr w14:val="tx1"/>
            </w14:solidFill>
          </w14:textFill>
        </w:rPr>
        <w:t>城乡社区支出</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621.31万元，占90.93%；</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住房保障支出</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26.55</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万元，占</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3.89</w:t>
      </w:r>
      <w:r>
        <w:rPr>
          <w:rFonts w:ascii="Times New Roman" w:hAnsi="Times New Roman" w:eastAsia="仿宋_GB2312" w:cs="Times New Roman"/>
          <w:color w:val="000000" w:themeColor="text1"/>
          <w:kern w:val="2"/>
          <w:sz w:val="32"/>
          <w:szCs w:val="32"/>
          <w:highlight w:val="none"/>
          <w14:textFill>
            <w14:solidFill>
              <w14:schemeClr w14:val="tx1"/>
            </w14:solidFill>
          </w14:textFill>
        </w:rPr>
        <w:t>%。</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2022年</w:t>
      </w:r>
      <w:r>
        <w:rPr>
          <w:rFonts w:ascii="Times New Roman" w:hAnsi="Times New Roman" w:eastAsia="仿宋_GB2312"/>
          <w:color w:val="000000" w:themeColor="text1"/>
          <w:sz w:val="32"/>
          <w:szCs w:val="32"/>
          <w:highlight w:val="none"/>
          <w14:textFill>
            <w14:solidFill>
              <w14:schemeClr w14:val="tx1"/>
            </w14:solidFill>
          </w14:textFill>
        </w:rPr>
        <w:t>预算相比，收、支总计各增加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204.53</w:t>
      </w:r>
      <w:r>
        <w:rPr>
          <w:rFonts w:ascii="Times New Roman" w:hAnsi="Times New Roman" w:eastAsia="仿宋_GB2312"/>
          <w:color w:val="000000" w:themeColor="text1"/>
          <w:sz w:val="32"/>
          <w:szCs w:val="32"/>
          <w:highlight w:val="none"/>
          <w14:textFill>
            <w14:solidFill>
              <w14:schemeClr w14:val="tx1"/>
            </w14:solidFill>
          </w14:textFill>
        </w:rPr>
        <w:t>万元，增长</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42.72</w:t>
      </w:r>
      <w:r>
        <w:rPr>
          <w:rFonts w:ascii="Times New Roman" w:hAnsi="Times New Roman" w:eastAsia="仿宋_GB2312"/>
          <w:color w:val="000000" w:themeColor="text1"/>
          <w:sz w:val="32"/>
          <w:szCs w:val="32"/>
          <w:highlight w:val="none"/>
          <w14:textFill>
            <w14:solidFill>
              <w14:schemeClr w14:val="tx1"/>
            </w14:solidFill>
          </w14:textFill>
        </w:rPr>
        <w:t xml:space="preserve"> %。主要原因：一是</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基础绩效奖列入年度预算</w:t>
      </w:r>
      <w:r>
        <w:rPr>
          <w:rFonts w:ascii="Times New Roman" w:hAnsi="Times New Roman" w:eastAsia="仿宋_GB2312"/>
          <w:color w:val="000000" w:themeColor="text1"/>
          <w:sz w:val="32"/>
          <w:szCs w:val="32"/>
          <w:highlight w:val="none"/>
          <w14:textFill>
            <w14:solidFill>
              <w14:schemeClr w14:val="tx1"/>
            </w14:solidFill>
          </w14:textFill>
        </w:rPr>
        <w:t>；二是</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人员及工资变动</w:t>
      </w:r>
      <w:r>
        <w:rPr>
          <w:rFonts w:ascii="Times New Roman" w:hAnsi="Times New Roman" w:eastAsia="仿宋_GB2312"/>
          <w:color w:val="000000" w:themeColor="text1"/>
          <w:sz w:val="32"/>
          <w:szCs w:val="32"/>
          <w:highlight w:val="none"/>
          <w14:textFill>
            <w14:solidFill>
              <w14:schemeClr w14:val="tx1"/>
            </w14:solidFill>
          </w14:textFill>
        </w:rPr>
        <w:t>。</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eastAsia="zh-CN"/>
          <w14:textFill>
            <w14:solidFill>
              <w14:schemeClr w14:val="tx1"/>
            </w14:solidFill>
          </w14:textFill>
        </w:rPr>
        <w:t>五</w:t>
      </w:r>
      <w:r>
        <w:rPr>
          <w:rFonts w:ascii="Times New Roman" w:hAnsi="Times New Roman" w:eastAsia="黑体"/>
          <w:color w:val="000000" w:themeColor="text1"/>
          <w:sz w:val="32"/>
          <w:szCs w:val="32"/>
          <w:highlight w:val="none"/>
          <w14:textFill>
            <w14:solidFill>
              <w14:schemeClr w14:val="tx1"/>
            </w14:solidFill>
          </w14:textFill>
        </w:rPr>
        <w:t>、关于</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一般公共预算</w:t>
      </w:r>
      <w:r>
        <w:rPr>
          <w:rFonts w:hint="eastAsia" w:ascii="Times New Roman" w:hAnsi="Times New Roman" w:eastAsia="黑体"/>
          <w:color w:val="000000" w:themeColor="text1"/>
          <w:sz w:val="32"/>
          <w:szCs w:val="32"/>
          <w:highlight w:val="none"/>
          <w:lang w:eastAsia="zh-CN"/>
          <w14:textFill>
            <w14:solidFill>
              <w14:schemeClr w14:val="tx1"/>
            </w14:solidFill>
          </w14:textFill>
        </w:rPr>
        <w:t>支出表的</w:t>
      </w:r>
      <w:r>
        <w:rPr>
          <w:rFonts w:ascii="Times New Roman" w:hAnsi="Times New Roman" w:eastAsia="黑体"/>
          <w:color w:val="000000" w:themeColor="text1"/>
          <w:sz w:val="32"/>
          <w:szCs w:val="32"/>
          <w:highlight w:val="none"/>
          <w14:textFill>
            <w14:solidFill>
              <w14:schemeClr w14:val="tx1"/>
            </w14:solidFill>
          </w14:textFill>
        </w:rPr>
        <w:t>说明</w:t>
      </w:r>
    </w:p>
    <w:p>
      <w:pPr>
        <w:spacing w:line="560" w:lineRule="exact"/>
        <w:ind w:firstLine="642" w:firstLineChars="200"/>
        <w:rPr>
          <w:rFonts w:ascii="Times New Roman" w:hAnsi="Times New Roman" w:eastAsia="楷体"/>
          <w:b/>
          <w:color w:val="000000" w:themeColor="text1"/>
          <w:sz w:val="32"/>
          <w:szCs w:val="32"/>
          <w:highlight w:val="none"/>
          <w14:textFill>
            <w14:solidFill>
              <w14:schemeClr w14:val="tx1"/>
            </w14:solidFill>
          </w14:textFill>
        </w:rPr>
      </w:pPr>
      <w:r>
        <w:rPr>
          <w:rFonts w:ascii="Times New Roman" w:hAnsi="Times New Roman" w:eastAsia="楷体"/>
          <w:b/>
          <w:color w:val="000000" w:themeColor="text1"/>
          <w:sz w:val="32"/>
          <w:szCs w:val="32"/>
          <w:highlight w:val="none"/>
          <w14:textFill>
            <w14:solidFill>
              <w14:schemeClr w14:val="tx1"/>
            </w14:solidFill>
          </w14:textFill>
        </w:rPr>
        <w:t>（一）一般公共预算拨款规模变化情况。</w:t>
      </w:r>
    </w:p>
    <w:p>
      <w:pPr>
        <w:pStyle w:val="5"/>
        <w:widowControl w:val="0"/>
        <w:adjustRightInd w:val="0"/>
        <w:snapToGrid w:val="0"/>
        <w:spacing w:before="0" w:beforeAutospacing="0" w:after="0" w:afterAutospacing="0" w:line="560" w:lineRule="exact"/>
        <w:ind w:firstLine="627" w:firstLineChars="196"/>
        <w:rPr>
          <w:rFonts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s="Times New Roman"/>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s="Times New Roman"/>
          <w:color w:val="000000" w:themeColor="text1"/>
          <w:kern w:val="2"/>
          <w:sz w:val="32"/>
          <w:szCs w:val="32"/>
          <w:highlight w:val="none"/>
          <w:lang w:eastAsia="zh-CN"/>
          <w14:textFill>
            <w14:solidFill>
              <w14:schemeClr w14:val="tx1"/>
            </w14:solidFill>
          </w14:textFill>
        </w:rPr>
        <w:t>2023年</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一般公共预算拨款</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683.27</w:t>
      </w:r>
      <w:r>
        <w:rPr>
          <w:rFonts w:ascii="Times New Roman" w:hAnsi="Times New Roman" w:eastAsia="仿宋_GB2312" w:cs="Times New Roman"/>
          <w:color w:val="000000" w:themeColor="text1"/>
          <w:sz w:val="32"/>
          <w:szCs w:val="32"/>
          <w:highlight w:val="none"/>
          <w14:textFill>
            <w14:solidFill>
              <w14:schemeClr w14:val="tx1"/>
            </w14:solidFill>
          </w14:textFill>
        </w:rPr>
        <w:t>万元</w:t>
      </w:r>
      <w:r>
        <w:rPr>
          <w:rFonts w:ascii="Times New Roman" w:hAnsi="Times New Roman" w:eastAsia="仿宋_GB2312" w:cs="Times New Roman"/>
          <w:color w:val="000000" w:themeColor="text1"/>
          <w:kern w:val="2"/>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eastAsia="zh-CN"/>
          <w14:textFill>
            <w14:solidFill>
              <w14:schemeClr w14:val="tx1"/>
            </w14:solidFill>
          </w14:textFill>
        </w:rPr>
        <w:t>较2022年</w:t>
      </w:r>
      <w:r>
        <w:rPr>
          <w:rFonts w:ascii="Times New Roman" w:hAnsi="Times New Roman" w:eastAsia="仿宋_GB2312" w:cs="Times New Roman"/>
          <w:color w:val="000000" w:themeColor="text1"/>
          <w:kern w:val="2"/>
          <w:sz w:val="32"/>
          <w:szCs w:val="32"/>
          <w:highlight w:val="none"/>
          <w14:textFill>
            <w14:solidFill>
              <w14:schemeClr w14:val="tx1"/>
            </w14:solidFill>
          </w14:textFill>
        </w:rPr>
        <w:t>预算拨款增加</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204.53</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万元，增长</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42.72</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%，主要原因：</w:t>
      </w:r>
      <w:r>
        <w:rPr>
          <w:rFonts w:ascii="Times New Roman" w:hAnsi="Times New Roman" w:eastAsia="仿宋_GB2312"/>
          <w:color w:val="000000" w:themeColor="text1"/>
          <w:sz w:val="32"/>
          <w:szCs w:val="32"/>
          <w:highlight w:val="none"/>
          <w14:textFill>
            <w14:solidFill>
              <w14:schemeClr w14:val="tx1"/>
            </w14:solidFill>
          </w14:textFill>
        </w:rPr>
        <w:t>一是</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基础绩效奖列入年度预算</w:t>
      </w:r>
      <w:r>
        <w:rPr>
          <w:rFonts w:ascii="Times New Roman" w:hAnsi="Times New Roman" w:eastAsia="仿宋_GB2312"/>
          <w:color w:val="000000" w:themeColor="text1"/>
          <w:sz w:val="32"/>
          <w:szCs w:val="32"/>
          <w:highlight w:val="none"/>
          <w14:textFill>
            <w14:solidFill>
              <w14:schemeClr w14:val="tx1"/>
            </w14:solidFill>
          </w14:textFill>
        </w:rPr>
        <w:t>；二是</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人员及工资变动</w:t>
      </w:r>
      <w:r>
        <w:rPr>
          <w:rFonts w:ascii="Times New Roman" w:hAnsi="Times New Roman" w:eastAsia="仿宋_GB2312"/>
          <w:color w:val="000000" w:themeColor="text1"/>
          <w:sz w:val="32"/>
          <w:szCs w:val="32"/>
          <w:highlight w:val="none"/>
          <w14:textFill>
            <w14:solidFill>
              <w14:schemeClr w14:val="tx1"/>
            </w14:solidFill>
          </w14:textFill>
        </w:rPr>
        <w:t>。</w:t>
      </w:r>
    </w:p>
    <w:p>
      <w:pPr>
        <w:spacing w:line="560" w:lineRule="exact"/>
        <w:ind w:firstLine="642" w:firstLineChars="200"/>
        <w:rPr>
          <w:rFonts w:ascii="Times New Roman" w:hAnsi="Times New Roman" w:eastAsia="楷体"/>
          <w:b/>
          <w:color w:val="000000" w:themeColor="text1"/>
          <w:sz w:val="32"/>
          <w:szCs w:val="32"/>
          <w:highlight w:val="none"/>
          <w14:textFill>
            <w14:solidFill>
              <w14:schemeClr w14:val="tx1"/>
            </w14:solidFill>
          </w14:textFill>
        </w:rPr>
      </w:pPr>
      <w:r>
        <w:rPr>
          <w:rFonts w:ascii="Times New Roman" w:hAnsi="Times New Roman" w:eastAsia="楷体"/>
          <w:b/>
          <w:color w:val="000000" w:themeColor="text1"/>
          <w:sz w:val="32"/>
          <w:szCs w:val="32"/>
          <w:highlight w:val="none"/>
          <w14:textFill>
            <w14:solidFill>
              <w14:schemeClr w14:val="tx1"/>
            </w14:solidFill>
          </w14:textFill>
        </w:rPr>
        <w:t>（二）一般公共预算拨款结构情况。</w:t>
      </w:r>
    </w:p>
    <w:p>
      <w:pPr>
        <w:spacing w:line="560" w:lineRule="exact"/>
        <w:ind w:firstLine="640" w:firstLineChars="200"/>
        <w:rPr>
          <w:rFonts w:ascii="Times New Roman" w:hAnsi="Times New Roman" w:eastAsia="仿宋_GB2312" w:cs="Times New Roman"/>
          <w:color w:val="000000" w:themeColor="text1"/>
          <w:kern w:val="2"/>
          <w:sz w:val="32"/>
          <w:szCs w:val="32"/>
          <w:highlight w:val="none"/>
          <w14:textFill>
            <w14:solidFill>
              <w14:schemeClr w14:val="tx1"/>
            </w14:solidFill>
          </w14:textFill>
        </w:rPr>
      </w:pPr>
      <w:r>
        <w:rPr>
          <w:rFonts w:ascii="Times New Roman" w:hAnsi="Times New Roman" w:eastAsia="仿宋_GB2312" w:cs="Times New Roman"/>
          <w:color w:val="000000" w:themeColor="text1"/>
          <w:kern w:val="2"/>
          <w:sz w:val="32"/>
          <w:szCs w:val="32"/>
          <w:highlight w:val="none"/>
          <w14:textFill>
            <w14:solidFill>
              <w14:schemeClr w14:val="tx1"/>
            </w14:solidFill>
          </w14:textFill>
        </w:rPr>
        <w:t>社会保障和就业支出</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35.4</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万元，占</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5.18</w:t>
      </w:r>
      <w:r>
        <w:rPr>
          <w:rFonts w:ascii="Times New Roman" w:hAnsi="Times New Roman" w:eastAsia="仿宋_GB2312" w:cs="Times New Roman"/>
          <w:color w:val="000000" w:themeColor="text1"/>
          <w:kern w:val="2"/>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eastAsia="zh-CN"/>
          <w14:textFill>
            <w14:solidFill>
              <w14:schemeClr w14:val="tx1"/>
            </w14:solidFill>
          </w14:textFill>
        </w:rPr>
        <w:t>城乡社区支出</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621.31万元，占90.93%；</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住房保障支出</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26.55</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万元，占</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3.89</w:t>
      </w:r>
      <w:r>
        <w:rPr>
          <w:rFonts w:ascii="Times New Roman" w:hAnsi="Times New Roman" w:eastAsia="仿宋_GB2312" w:cs="Times New Roman"/>
          <w:color w:val="000000" w:themeColor="text1"/>
          <w:kern w:val="2"/>
          <w:sz w:val="32"/>
          <w:szCs w:val="32"/>
          <w:highlight w:val="none"/>
          <w14:textFill>
            <w14:solidFill>
              <w14:schemeClr w14:val="tx1"/>
            </w14:solidFill>
          </w14:textFill>
        </w:rPr>
        <w:t>%。</w:t>
      </w:r>
    </w:p>
    <w:p>
      <w:pPr>
        <w:spacing w:line="560" w:lineRule="exact"/>
        <w:ind w:firstLine="642" w:firstLineChars="200"/>
        <w:rPr>
          <w:rFonts w:ascii="Times New Roman" w:hAnsi="Times New Roman" w:eastAsia="楷体"/>
          <w:b/>
          <w:color w:val="000000" w:themeColor="text1"/>
          <w:sz w:val="32"/>
          <w:szCs w:val="32"/>
          <w:highlight w:val="none"/>
          <w14:textFill>
            <w14:solidFill>
              <w14:schemeClr w14:val="tx1"/>
            </w14:solidFill>
          </w14:textFill>
        </w:rPr>
      </w:pPr>
      <w:r>
        <w:rPr>
          <w:rFonts w:ascii="Times New Roman" w:hAnsi="Times New Roman" w:eastAsia="楷体"/>
          <w:b/>
          <w:color w:val="000000" w:themeColor="text1"/>
          <w:sz w:val="32"/>
          <w:szCs w:val="32"/>
          <w:highlight w:val="none"/>
          <w14:textFill>
            <w14:solidFill>
              <w14:schemeClr w14:val="tx1"/>
            </w14:solidFill>
          </w14:textFill>
        </w:rPr>
        <w:t>（三）一般公共预算拨款具体使用情况。</w:t>
      </w:r>
    </w:p>
    <w:p>
      <w:pPr>
        <w:adjustRightInd w:val="0"/>
        <w:snapToGrid w:val="0"/>
        <w:spacing w:line="560" w:lineRule="exact"/>
        <w:ind w:firstLine="642"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b/>
          <w:color w:val="000000" w:themeColor="text1"/>
          <w:sz w:val="32"/>
          <w:szCs w:val="32"/>
          <w:highlight w:val="none"/>
          <w:lang w:val="en-US" w:eastAsia="zh-CN"/>
          <w14:textFill>
            <w14:solidFill>
              <w14:schemeClr w14:val="tx1"/>
            </w14:solidFill>
          </w14:textFill>
        </w:rPr>
        <w:t>1</w:t>
      </w:r>
      <w:r>
        <w:rPr>
          <w:rFonts w:ascii="Times New Roman" w:hAnsi="Times New Roman" w:eastAsia="仿宋_GB2312"/>
          <w:b/>
          <w:color w:val="000000" w:themeColor="text1"/>
          <w:sz w:val="32"/>
          <w:szCs w:val="32"/>
          <w:highlight w:val="none"/>
          <w14:textFill>
            <w14:solidFill>
              <w14:schemeClr w14:val="tx1"/>
            </w14:solidFill>
          </w14:textFill>
        </w:rPr>
        <w:t>.社会保障和就业支出（类）行政事业单位养老支出（款）</w:t>
      </w:r>
      <w:r>
        <w:rPr>
          <w:rFonts w:hint="eastAsia" w:ascii="Times New Roman" w:hAnsi="Times New Roman" w:eastAsia="仿宋_GB2312"/>
          <w:b/>
          <w:color w:val="000000" w:themeColor="text1"/>
          <w:sz w:val="32"/>
          <w:szCs w:val="32"/>
          <w:highlight w:val="none"/>
          <w:lang w:eastAsia="zh-CN"/>
          <w14:textFill>
            <w14:solidFill>
              <w14:schemeClr w14:val="tx1"/>
            </w14:solidFill>
          </w14:textFill>
        </w:rPr>
        <w:t>机关事业单位基本养老保险缴费支出</w:t>
      </w:r>
      <w:r>
        <w:rPr>
          <w:rFonts w:ascii="Times New Roman" w:hAnsi="Times New Roman" w:eastAsia="仿宋_GB2312"/>
          <w:b/>
          <w:color w:val="000000" w:themeColor="text1"/>
          <w:sz w:val="32"/>
          <w:szCs w:val="32"/>
          <w:highlight w:val="none"/>
          <w14:textFill>
            <w14:solidFill>
              <w14:schemeClr w14:val="tx1"/>
            </w14:solidFill>
          </w14:textFill>
        </w:rPr>
        <w:t>（项）</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35.4</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较2022年</w:t>
      </w:r>
      <w:r>
        <w:rPr>
          <w:rFonts w:ascii="Times New Roman" w:hAnsi="Times New Roman" w:eastAsia="仿宋_GB2312"/>
          <w:color w:val="000000" w:themeColor="text1"/>
          <w:sz w:val="32"/>
          <w:szCs w:val="32"/>
          <w:highlight w:val="none"/>
          <w14:textFill>
            <w14:solidFill>
              <w14:schemeClr w14:val="tx1"/>
            </w14:solidFill>
          </w14:textFill>
        </w:rPr>
        <w:t>预算增加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9.39</w:t>
      </w:r>
      <w:r>
        <w:rPr>
          <w:rFonts w:ascii="Times New Roman" w:hAnsi="Times New Roman" w:eastAsia="仿宋_GB2312"/>
          <w:color w:val="000000" w:themeColor="text1"/>
          <w:sz w:val="32"/>
          <w:szCs w:val="32"/>
          <w:highlight w:val="none"/>
          <w14:textFill>
            <w14:solidFill>
              <w14:schemeClr w14:val="tx1"/>
            </w14:solidFill>
          </w14:textFill>
        </w:rPr>
        <w:t>万元，增长</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36.1</w:t>
      </w:r>
      <w:r>
        <w:rPr>
          <w:rFonts w:ascii="Times New Roman" w:hAnsi="Times New Roman" w:eastAsia="仿宋_GB2312"/>
          <w:color w:val="000000" w:themeColor="text1"/>
          <w:sz w:val="32"/>
          <w:szCs w:val="32"/>
          <w:highlight w:val="none"/>
          <w14:textFill>
            <w14:solidFill>
              <w14:schemeClr w14:val="tx1"/>
            </w14:solidFill>
          </w14:textFill>
        </w:rPr>
        <w:t>%，增长原因主要是</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养老保险基数调整</w:t>
      </w:r>
      <w:r>
        <w:rPr>
          <w:rFonts w:ascii="Times New Roman" w:hAnsi="Times New Roman" w:eastAsia="仿宋_GB2312"/>
          <w:color w:val="000000" w:themeColor="text1"/>
          <w:sz w:val="32"/>
          <w:szCs w:val="32"/>
          <w:highlight w:val="none"/>
          <w14:textFill>
            <w14:solidFill>
              <w14:schemeClr w14:val="tx1"/>
            </w14:solidFill>
          </w14:textFill>
        </w:rPr>
        <w:t>。</w:t>
      </w:r>
    </w:p>
    <w:p>
      <w:pPr>
        <w:adjustRightInd w:val="0"/>
        <w:snapToGrid w:val="0"/>
        <w:spacing w:line="560" w:lineRule="exact"/>
        <w:ind w:firstLine="642" w:firstLineChars="200"/>
        <w:rPr>
          <w:rFonts w:hint="default" w:ascii="Times New Roman" w:hAnsi="Times New Roman" w:eastAsia="仿宋_GB2312"/>
          <w:b/>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
          <w:color w:val="000000" w:themeColor="text1"/>
          <w:sz w:val="32"/>
          <w:szCs w:val="32"/>
          <w:highlight w:val="none"/>
          <w:lang w:val="en-US" w:eastAsia="zh-CN"/>
          <w14:textFill>
            <w14:solidFill>
              <w14:schemeClr w14:val="tx1"/>
            </w14:solidFill>
          </w14:textFill>
        </w:rPr>
        <w:t>2</w:t>
      </w:r>
      <w:r>
        <w:rPr>
          <w:rFonts w:ascii="Times New Roman" w:hAnsi="Times New Roman" w:eastAsia="仿宋_GB2312"/>
          <w:b/>
          <w:color w:val="000000" w:themeColor="text1"/>
          <w:sz w:val="32"/>
          <w:szCs w:val="32"/>
          <w:highlight w:val="none"/>
          <w14:textFill>
            <w14:solidFill>
              <w14:schemeClr w14:val="tx1"/>
            </w14:solidFill>
          </w14:textFill>
        </w:rPr>
        <w:t>.</w:t>
      </w:r>
      <w:r>
        <w:rPr>
          <w:rFonts w:hint="eastAsia" w:ascii="Times New Roman" w:hAnsi="Times New Roman" w:eastAsia="仿宋_GB2312"/>
          <w:b/>
          <w:color w:val="000000" w:themeColor="text1"/>
          <w:sz w:val="32"/>
          <w:szCs w:val="32"/>
          <w:highlight w:val="none"/>
          <w:lang w:eastAsia="zh-CN"/>
          <w14:textFill>
            <w14:solidFill>
              <w14:schemeClr w14:val="tx1"/>
            </w14:solidFill>
          </w14:textFill>
        </w:rPr>
        <w:t>城乡社区支出</w:t>
      </w:r>
      <w:r>
        <w:rPr>
          <w:rFonts w:ascii="Times New Roman" w:hAnsi="Times New Roman" w:eastAsia="仿宋_GB2312"/>
          <w:b/>
          <w:color w:val="000000" w:themeColor="text1"/>
          <w:sz w:val="32"/>
          <w:szCs w:val="32"/>
          <w:highlight w:val="none"/>
          <w14:textFill>
            <w14:solidFill>
              <w14:schemeClr w14:val="tx1"/>
            </w14:solidFill>
          </w14:textFill>
        </w:rPr>
        <w:t>（类）</w:t>
      </w:r>
      <w:r>
        <w:rPr>
          <w:rFonts w:hint="eastAsia" w:ascii="Times New Roman" w:hAnsi="Times New Roman" w:eastAsia="仿宋_GB2312"/>
          <w:b/>
          <w:color w:val="000000" w:themeColor="text1"/>
          <w:sz w:val="32"/>
          <w:szCs w:val="32"/>
          <w:highlight w:val="none"/>
          <w:lang w:eastAsia="zh-CN"/>
          <w14:textFill>
            <w14:solidFill>
              <w14:schemeClr w14:val="tx1"/>
            </w14:solidFill>
          </w14:textFill>
        </w:rPr>
        <w:t>城乡社区管理事务</w:t>
      </w:r>
      <w:r>
        <w:rPr>
          <w:rFonts w:ascii="Times New Roman" w:hAnsi="Times New Roman" w:eastAsia="仿宋_GB2312"/>
          <w:b/>
          <w:color w:val="000000" w:themeColor="text1"/>
          <w:sz w:val="32"/>
          <w:szCs w:val="32"/>
          <w:highlight w:val="none"/>
          <w14:textFill>
            <w14:solidFill>
              <w14:schemeClr w14:val="tx1"/>
            </w14:solidFill>
          </w14:textFill>
        </w:rPr>
        <w:t>（款）</w:t>
      </w:r>
      <w:r>
        <w:rPr>
          <w:rFonts w:hint="eastAsia" w:ascii="Times New Roman" w:hAnsi="Times New Roman" w:eastAsia="仿宋_GB2312"/>
          <w:b/>
          <w:color w:val="000000" w:themeColor="text1"/>
          <w:sz w:val="32"/>
          <w:szCs w:val="32"/>
          <w:highlight w:val="none"/>
          <w:lang w:eastAsia="zh-CN"/>
          <w14:textFill>
            <w14:solidFill>
              <w14:schemeClr w14:val="tx1"/>
            </w14:solidFill>
          </w14:textFill>
        </w:rPr>
        <w:t>工程建设编制规范编制与监管</w:t>
      </w:r>
      <w:r>
        <w:rPr>
          <w:rFonts w:ascii="Times New Roman" w:hAnsi="Times New Roman" w:eastAsia="仿宋_GB2312"/>
          <w:b/>
          <w:color w:val="000000" w:themeColor="text1"/>
          <w:sz w:val="32"/>
          <w:szCs w:val="32"/>
          <w:highlight w:val="none"/>
          <w14:textFill>
            <w14:solidFill>
              <w14:schemeClr w14:val="tx1"/>
            </w14:solidFill>
          </w14:textFill>
        </w:rPr>
        <w:t>（项）</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2023年预算621.31万元，较2022年预算增加188.1万元，增长43.42%，增长的主要原因是</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基础绩效奖列入年度预算。</w:t>
      </w:r>
    </w:p>
    <w:p>
      <w:pPr>
        <w:adjustRightInd w:val="0"/>
        <w:snapToGrid w:val="0"/>
        <w:spacing w:line="560" w:lineRule="exact"/>
        <w:ind w:firstLine="642"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4.住房保障支出（类）住房改革支出（款）住房公积金（项）</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26.55</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较2022年</w:t>
      </w:r>
      <w:r>
        <w:rPr>
          <w:rFonts w:ascii="Times New Roman" w:hAnsi="Times New Roman" w:eastAsia="仿宋_GB2312"/>
          <w:color w:val="000000" w:themeColor="text1"/>
          <w:sz w:val="32"/>
          <w:szCs w:val="32"/>
          <w:highlight w:val="none"/>
          <w14:textFill>
            <w14:solidFill>
              <w14:schemeClr w14:val="tx1"/>
            </w14:solidFill>
          </w14:textFill>
        </w:rPr>
        <w:t>预算增加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7.04</w:t>
      </w:r>
      <w:r>
        <w:rPr>
          <w:rFonts w:ascii="Times New Roman" w:hAnsi="Times New Roman" w:eastAsia="仿宋_GB2312"/>
          <w:color w:val="000000" w:themeColor="text1"/>
          <w:sz w:val="32"/>
          <w:szCs w:val="32"/>
          <w:highlight w:val="none"/>
          <w14:textFill>
            <w14:solidFill>
              <w14:schemeClr w14:val="tx1"/>
            </w14:solidFill>
          </w14:textFill>
        </w:rPr>
        <w:t>万元，增长</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36.08</w:t>
      </w:r>
      <w:r>
        <w:rPr>
          <w:rFonts w:ascii="Times New Roman" w:hAnsi="Times New Roman" w:eastAsia="仿宋_GB2312"/>
          <w:color w:val="000000" w:themeColor="text1"/>
          <w:sz w:val="32"/>
          <w:szCs w:val="32"/>
          <w:highlight w:val="none"/>
          <w14:textFill>
            <w14:solidFill>
              <w14:schemeClr w14:val="tx1"/>
            </w14:solidFill>
          </w14:textFill>
        </w:rPr>
        <w:t>%，增长原因主要是</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住房公积金基数调整</w:t>
      </w:r>
      <w:r>
        <w:rPr>
          <w:rFonts w:ascii="Times New Roman" w:hAnsi="Times New Roman" w:eastAsia="仿宋_GB2312"/>
          <w:color w:val="000000" w:themeColor="text1"/>
          <w:sz w:val="32"/>
          <w:szCs w:val="32"/>
          <w:highlight w:val="none"/>
          <w14:textFill>
            <w14:solidFill>
              <w14:schemeClr w14:val="tx1"/>
            </w14:solidFill>
          </w14:textFill>
        </w:rPr>
        <w:t>。</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eastAsia="zh-CN"/>
          <w14:textFill>
            <w14:solidFill>
              <w14:schemeClr w14:val="tx1"/>
            </w14:solidFill>
          </w14:textFill>
        </w:rPr>
        <w:t>六</w:t>
      </w:r>
      <w:r>
        <w:rPr>
          <w:rFonts w:ascii="Times New Roman" w:hAnsi="Times New Roman" w:eastAsia="黑体"/>
          <w:color w:val="000000" w:themeColor="text1"/>
          <w:sz w:val="32"/>
          <w:szCs w:val="32"/>
          <w:highlight w:val="none"/>
          <w14:textFill>
            <w14:solidFill>
              <w14:schemeClr w14:val="tx1"/>
            </w14:solidFill>
          </w14:textFill>
        </w:rPr>
        <w:t>、关于</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一般公共预算基本支出</w:t>
      </w:r>
      <w:r>
        <w:rPr>
          <w:rFonts w:hint="eastAsia" w:ascii="Times New Roman" w:hAnsi="Times New Roman" w:eastAsia="黑体"/>
          <w:color w:val="000000" w:themeColor="text1"/>
          <w:sz w:val="32"/>
          <w:szCs w:val="32"/>
          <w:highlight w:val="none"/>
          <w:lang w:eastAsia="zh-CN"/>
          <w14:textFill>
            <w14:solidFill>
              <w14:schemeClr w14:val="tx1"/>
            </w14:solidFill>
          </w14:textFill>
        </w:rPr>
        <w:t>表的</w:t>
      </w:r>
      <w:r>
        <w:rPr>
          <w:rFonts w:ascii="Times New Roman" w:hAnsi="Times New Roman" w:eastAsia="黑体"/>
          <w:color w:val="000000" w:themeColor="text1"/>
          <w:sz w:val="32"/>
          <w:szCs w:val="32"/>
          <w:highlight w:val="none"/>
          <w14:textFill>
            <w14:solidFill>
              <w14:schemeClr w14:val="tx1"/>
            </w14:solidFill>
          </w14:textFill>
        </w:rPr>
        <w:t>说明</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一般公共预算基本支出</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683.27</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olor w:val="000000" w:themeColor="text1"/>
          <w:sz w:val="32"/>
          <w:szCs w:val="32"/>
          <w:highlight w:val="none"/>
          <w14:textFill>
            <w14:solidFill>
              <w14:schemeClr w14:val="tx1"/>
            </w14:solidFill>
          </w14:textFill>
        </w:rPr>
        <w:t>其中，人员经费</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626.89</w:t>
      </w:r>
      <w:r>
        <w:rPr>
          <w:rFonts w:hint="eastAsia" w:ascii="Times New Roman" w:hAnsi="Times New Roman" w:eastAsia="仿宋_GB2312"/>
          <w:color w:val="000000" w:themeColor="text1"/>
          <w:sz w:val="32"/>
          <w:szCs w:val="32"/>
          <w:highlight w:val="none"/>
          <w14:textFill>
            <w14:solidFill>
              <w14:schemeClr w14:val="tx1"/>
            </w14:solidFill>
          </w14:textFill>
        </w:rPr>
        <w:t>万元，公用经费</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56.38</w:t>
      </w:r>
      <w:r>
        <w:rPr>
          <w:rFonts w:hint="eastAsia" w:ascii="Times New Roman" w:hAnsi="Times New Roman" w:eastAsia="仿宋_GB2312"/>
          <w:color w:val="000000" w:themeColor="text1"/>
          <w:sz w:val="32"/>
          <w:szCs w:val="32"/>
          <w:highlight w:val="none"/>
          <w14:textFill>
            <w14:solidFill>
              <w14:schemeClr w14:val="tx1"/>
            </w14:solidFill>
          </w14:textFill>
        </w:rPr>
        <w:t>万元。</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（一）人员经费</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626.89</w:t>
      </w:r>
      <w:r>
        <w:rPr>
          <w:rFonts w:hint="eastAsia" w:ascii="Times New Roman" w:hAnsi="Times New Roman" w:eastAsia="仿宋_GB2312"/>
          <w:color w:val="000000" w:themeColor="text1"/>
          <w:sz w:val="32"/>
          <w:szCs w:val="32"/>
          <w:highlight w:val="none"/>
          <w14:textFill>
            <w14:solidFill>
              <w14:schemeClr w14:val="tx1"/>
            </w14:solidFill>
          </w14:textFill>
        </w:rPr>
        <w:t>万元，主要包括:基本工资、津贴补贴、奖金、伙食补助费、绩效工资、机关事业单位基本养老保险费、职工基本医疗保险缴费、其他社会保障缴费、住房公积金、医疗费、其他工资福利支出</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、退休费、生活补助、医疗费补助等</w:t>
      </w:r>
      <w:r>
        <w:rPr>
          <w:rFonts w:hint="eastAsia" w:ascii="Times New Roman" w:hAnsi="Times New Roman" w:eastAsia="仿宋_GB2312"/>
          <w:color w:val="000000" w:themeColor="text1"/>
          <w:sz w:val="32"/>
          <w:szCs w:val="32"/>
          <w:highlight w:val="none"/>
          <w14:textFill>
            <w14:solidFill>
              <w14:schemeClr w14:val="tx1"/>
            </w14:solidFill>
          </w14:textFill>
        </w:rPr>
        <w:t>。</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（二）公用经费</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56.38</w:t>
      </w:r>
      <w:r>
        <w:rPr>
          <w:rFonts w:hint="eastAsia" w:ascii="Times New Roman" w:hAnsi="Times New Roman" w:eastAsia="仿宋_GB2312"/>
          <w:color w:val="000000" w:themeColor="text1"/>
          <w:sz w:val="32"/>
          <w:szCs w:val="32"/>
          <w:highlight w:val="none"/>
          <w14:textFill>
            <w14:solidFill>
              <w14:schemeClr w14:val="tx1"/>
            </w14:solidFill>
          </w14:textFill>
        </w:rPr>
        <w:t>万元，主要包括：办公费、物业管理费、差旅费、会议费、公务接待费</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olor w:val="000000" w:themeColor="text1"/>
          <w:sz w:val="32"/>
          <w:szCs w:val="32"/>
          <w:highlight w:val="none"/>
          <w14:textFill>
            <w14:solidFill>
              <w14:schemeClr w14:val="tx1"/>
            </w14:solidFill>
          </w14:textFill>
        </w:rPr>
        <w:t>工会经费、福利费、公务用车运行维护费、其他交通费用等。</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eastAsia="zh-CN"/>
          <w14:textFill>
            <w14:solidFill>
              <w14:schemeClr w14:val="tx1"/>
            </w14:solidFill>
          </w14:textFill>
        </w:rPr>
        <w:t>七</w:t>
      </w:r>
      <w:r>
        <w:rPr>
          <w:rFonts w:ascii="Times New Roman" w:hAnsi="Times New Roman" w:eastAsia="黑体"/>
          <w:color w:val="000000" w:themeColor="text1"/>
          <w:sz w:val="32"/>
          <w:szCs w:val="32"/>
          <w:highlight w:val="none"/>
          <w14:textFill>
            <w14:solidFill>
              <w14:schemeClr w14:val="tx1"/>
            </w14:solidFill>
          </w14:textFill>
        </w:rPr>
        <w:t>、关于</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政府性基金预算拨款情况说明</w:t>
      </w:r>
    </w:p>
    <w:p>
      <w:pPr>
        <w:pStyle w:val="5"/>
        <w:widowControl w:val="0"/>
        <w:adjustRightInd w:val="0"/>
        <w:snapToGrid w:val="0"/>
        <w:spacing w:before="0" w:beforeAutospacing="0" w:after="0" w:afterAutospacing="0" w:line="560" w:lineRule="exact"/>
        <w:ind w:firstLine="640" w:firstLineChars="200"/>
        <w:rPr>
          <w:rFonts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s="Times New Roman"/>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s="Times New Roman"/>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s="Times New Roman"/>
          <w:color w:val="000000" w:themeColor="text1"/>
          <w:sz w:val="32"/>
          <w:szCs w:val="32"/>
          <w:highlight w:val="none"/>
          <w:u w:val="none"/>
          <w14:textFill>
            <w14:solidFill>
              <w14:schemeClr w14:val="tx1"/>
            </w14:solidFill>
          </w14:textFill>
        </w:rPr>
        <w:t>没有政府性基金预算拨款收入，也没有使用政府性基金预算拨款安排的支出。</w:t>
      </w:r>
    </w:p>
    <w:p>
      <w:pPr>
        <w:spacing w:line="560" w:lineRule="exact"/>
        <w:ind w:firstLine="640" w:firstLineChars="200"/>
        <w:rPr>
          <w:rFonts w:ascii="Times New Roman" w:hAnsi="Times New Roman" w:eastAsia="黑体"/>
          <w:color w:val="000000" w:themeColor="text1"/>
          <w:sz w:val="32"/>
          <w:szCs w:val="32"/>
          <w:highlight w:val="none"/>
          <w:u w:val="none"/>
          <w14:textFill>
            <w14:solidFill>
              <w14:schemeClr w14:val="tx1"/>
            </w14:solidFill>
          </w14:textFill>
        </w:rPr>
      </w:pPr>
      <w:r>
        <w:rPr>
          <w:rFonts w:hint="eastAsia" w:ascii="Times New Roman" w:hAnsi="Times New Roman" w:eastAsia="黑体"/>
          <w:color w:val="000000" w:themeColor="text1"/>
          <w:sz w:val="32"/>
          <w:szCs w:val="32"/>
          <w:highlight w:val="none"/>
          <w:u w:val="none"/>
          <w:lang w:eastAsia="zh-CN"/>
          <w14:textFill>
            <w14:solidFill>
              <w14:schemeClr w14:val="tx1"/>
            </w14:solidFill>
          </w14:textFill>
        </w:rPr>
        <w:t>八</w:t>
      </w:r>
      <w:r>
        <w:rPr>
          <w:rFonts w:ascii="Times New Roman" w:hAnsi="Times New Roman" w:eastAsia="黑体"/>
          <w:color w:val="000000" w:themeColor="text1"/>
          <w:sz w:val="32"/>
          <w:szCs w:val="32"/>
          <w:highlight w:val="none"/>
          <w:u w:val="none"/>
          <w14:textFill>
            <w14:solidFill>
              <w14:schemeClr w14:val="tx1"/>
            </w14:solidFill>
          </w14:textFill>
        </w:rPr>
        <w:t>、关于</w:t>
      </w:r>
      <w:r>
        <w:rPr>
          <w:rFonts w:hint="eastAsia" w:ascii="Times New Roman" w:hAnsi="Times New Roman" w:eastAsia="黑体"/>
          <w:color w:val="000000" w:themeColor="text1"/>
          <w:sz w:val="32"/>
          <w:szCs w:val="32"/>
          <w:highlight w:val="none"/>
          <w:u w:val="none"/>
          <w:lang w:eastAsia="zh-CN"/>
          <w14:textFill>
            <w14:solidFill>
              <w14:schemeClr w14:val="tx1"/>
            </w14:solidFill>
          </w14:textFill>
        </w:rPr>
        <w:t>2023年</w:t>
      </w:r>
      <w:r>
        <w:rPr>
          <w:rFonts w:ascii="Times New Roman" w:hAnsi="Times New Roman" w:eastAsia="黑体"/>
          <w:color w:val="000000" w:themeColor="text1"/>
          <w:sz w:val="32"/>
          <w:szCs w:val="32"/>
          <w:highlight w:val="none"/>
          <w:u w:val="none"/>
          <w14:textFill>
            <w14:solidFill>
              <w14:schemeClr w14:val="tx1"/>
            </w14:solidFill>
          </w14:textFill>
        </w:rPr>
        <w:t>国有资本经营预算拨款情况说明</w:t>
      </w:r>
    </w:p>
    <w:p>
      <w:pPr>
        <w:pStyle w:val="5"/>
        <w:widowControl w:val="0"/>
        <w:adjustRightInd w:val="0"/>
        <w:snapToGrid w:val="0"/>
        <w:spacing w:before="0" w:beforeAutospacing="0" w:after="0" w:afterAutospacing="0" w:line="56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s="Times New Roman"/>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s="Times New Roman"/>
          <w:color w:val="000000" w:themeColor="text1"/>
          <w:sz w:val="32"/>
          <w:szCs w:val="32"/>
          <w:highlight w:val="none"/>
          <w:u w:val="none"/>
          <w:lang w:eastAsia="zh-CN"/>
          <w14:textFill>
            <w14:solidFill>
              <w14:schemeClr w14:val="tx1"/>
            </w14:solidFill>
          </w14:textFill>
        </w:rPr>
        <w:t>2023年</w:t>
      </w:r>
      <w:r>
        <w:rPr>
          <w:rFonts w:ascii="Times New Roman" w:hAnsi="Times New Roman" w:eastAsia="仿宋_GB2312" w:cs="Times New Roman"/>
          <w:color w:val="000000" w:themeColor="text1"/>
          <w:sz w:val="32"/>
          <w:szCs w:val="32"/>
          <w:highlight w:val="none"/>
          <w:u w:val="none"/>
          <w14:textFill>
            <w14:solidFill>
              <w14:schemeClr w14:val="tx1"/>
            </w14:solidFill>
          </w14:textFill>
        </w:rPr>
        <w:t>没有国有资本经营预算拨款收入，也没有使用国有资本</w:t>
      </w:r>
      <w:r>
        <w:rPr>
          <w:rFonts w:ascii="Times New Roman" w:hAnsi="Times New Roman" w:eastAsia="仿宋_GB2312" w:cs="Times New Roman"/>
          <w:color w:val="000000" w:themeColor="text1"/>
          <w:sz w:val="32"/>
          <w:szCs w:val="32"/>
          <w:highlight w:val="none"/>
          <w14:textFill>
            <w14:solidFill>
              <w14:schemeClr w14:val="tx1"/>
            </w14:solidFill>
          </w14:textFill>
        </w:rPr>
        <w:t>经营预算拨款安排的支出。</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Times New Roman" w:hAnsi="Times New Roman" w:eastAsia="黑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黑体" w:cs="Times New Roman"/>
          <w:color w:val="000000" w:themeColor="text1"/>
          <w:kern w:val="2"/>
          <w:sz w:val="32"/>
          <w:szCs w:val="32"/>
          <w:highlight w:val="none"/>
          <w:lang w:val="en-US" w:eastAsia="zh-CN" w:bidi="ar-SA"/>
          <w14:textFill>
            <w14:solidFill>
              <w14:schemeClr w14:val="tx1"/>
            </w14:solidFill>
          </w14:textFill>
        </w:rPr>
        <w:t>九、关于2023年项目支出表的说明</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u w:val="none"/>
          <w:lang w:eastAsia="zh-CN"/>
        </w:rPr>
        <w:t>六安市</w:t>
      </w:r>
      <w:r>
        <w:rPr>
          <w:rFonts w:hint="default" w:ascii="仿宋_GB2312" w:hAnsi="仿宋" w:eastAsia="仿宋_GB2312"/>
          <w:sz w:val="32"/>
          <w:szCs w:val="32"/>
          <w:highlight w:val="none"/>
          <w:u w:val="none"/>
          <w:lang w:val="en" w:eastAsia="zh-CN"/>
        </w:rPr>
        <w:t>重点工程建设管理处</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没有使用一般公共预算拨款、政府性基金预算拨款、国有资本经营预算拨款、财政专户管理资金和单位资金安排的项目支出。</w:t>
      </w:r>
    </w:p>
    <w:p>
      <w:pPr>
        <w:pStyle w:val="5"/>
        <w:keepNext w:val="0"/>
        <w:keepLines w:val="0"/>
        <w:pageBreakBefore w:val="0"/>
        <w:widowControl/>
        <w:numPr>
          <w:ilvl w:val="0"/>
          <w:numId w:val="4"/>
        </w:numPr>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Times New Roman" w:hAnsi="Times New Roman" w:eastAsia="黑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黑体" w:cs="Times New Roman"/>
          <w:color w:val="000000" w:themeColor="text1"/>
          <w:kern w:val="2"/>
          <w:sz w:val="32"/>
          <w:szCs w:val="32"/>
          <w:highlight w:val="none"/>
          <w:lang w:val="en-US" w:eastAsia="zh-CN" w:bidi="ar-SA"/>
          <w14:textFill>
            <w14:solidFill>
              <w14:schemeClr w14:val="tx1"/>
            </w14:solidFill>
          </w14:textFill>
        </w:rPr>
        <w:t>关于2023年政府采购支出表的说明</w:t>
      </w:r>
    </w:p>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_GB2312" w:hAnsi="仿宋" w:eastAsia="仿宋_GB2312"/>
          <w:sz w:val="32"/>
          <w:szCs w:val="32"/>
          <w:highlight w:val="none"/>
          <w:u w:val="none"/>
        </w:rPr>
      </w:pPr>
      <w:r>
        <w:rPr>
          <w:rFonts w:hint="eastAsia" w:ascii="仿宋_GB2312" w:hAnsi="仿宋" w:eastAsia="仿宋_GB2312"/>
          <w:sz w:val="32"/>
          <w:szCs w:val="32"/>
          <w:highlight w:val="none"/>
          <w:u w:val="none"/>
          <w:lang w:eastAsia="zh-CN"/>
        </w:rPr>
        <w:t>六安市</w:t>
      </w:r>
      <w:r>
        <w:rPr>
          <w:rFonts w:hint="default" w:ascii="仿宋_GB2312" w:hAnsi="仿宋" w:eastAsia="仿宋_GB2312"/>
          <w:sz w:val="32"/>
          <w:szCs w:val="32"/>
          <w:highlight w:val="none"/>
          <w:u w:val="none"/>
          <w:lang w:val="en" w:eastAsia="zh-CN"/>
        </w:rPr>
        <w:t>重点工程建设管理处</w:t>
      </w:r>
      <w:r>
        <w:rPr>
          <w:rFonts w:hint="eastAsia" w:ascii="Times New Roman" w:hAnsi="Times New Roman" w:eastAsia="仿宋_GB2312" w:cs="Times New Roman"/>
          <w:color w:val="000000" w:themeColor="text1"/>
          <w:sz w:val="32"/>
          <w:szCs w:val="32"/>
          <w:highlight w:val="none"/>
          <w:u w:val="none"/>
          <w:lang w:eastAsia="zh-CN"/>
          <w14:textFill>
            <w14:solidFill>
              <w14:schemeClr w14:val="tx1"/>
            </w14:solidFill>
          </w14:textFill>
        </w:rPr>
        <w:t>2023年没有使用一般公共预算拨款、政府性基金预算拨款、国有资本经营预算拨款、财政专户管理资金和单位资金安排的政府采购支出。</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黑体" w:hAnsi="仿宋" w:eastAsia="黑体"/>
          <w:sz w:val="32"/>
          <w:szCs w:val="32"/>
          <w:highlight w:val="none"/>
          <w:u w:val="none"/>
        </w:rPr>
      </w:pPr>
      <w:r>
        <w:rPr>
          <w:rFonts w:hint="eastAsia" w:ascii="黑体" w:hAnsi="仿宋" w:eastAsia="黑体"/>
          <w:sz w:val="32"/>
          <w:szCs w:val="32"/>
          <w:highlight w:val="none"/>
          <w:u w:val="none"/>
        </w:rPr>
        <w:t>十一、关于</w:t>
      </w:r>
      <w:r>
        <w:rPr>
          <w:rFonts w:hint="eastAsia" w:ascii="黑体" w:hAnsi="仿宋" w:eastAsia="黑体"/>
          <w:sz w:val="32"/>
          <w:szCs w:val="32"/>
          <w:highlight w:val="none"/>
          <w:u w:val="none"/>
          <w:lang w:eastAsia="zh-CN"/>
        </w:rPr>
        <w:t>2023年</w:t>
      </w:r>
      <w:r>
        <w:rPr>
          <w:rFonts w:hint="eastAsia" w:ascii="黑体" w:hAnsi="仿宋" w:eastAsia="黑体"/>
          <w:sz w:val="32"/>
          <w:szCs w:val="32"/>
          <w:highlight w:val="none"/>
          <w:u w:val="none"/>
        </w:rPr>
        <w:t>政府购买服务支出表的说明</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outlineLvl w:val="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仿宋_GB2312" w:hAnsi="仿宋" w:eastAsia="仿宋_GB2312"/>
          <w:sz w:val="32"/>
          <w:szCs w:val="32"/>
          <w:highlight w:val="none"/>
          <w:u w:val="none"/>
          <w:lang w:eastAsia="zh-CN"/>
        </w:rPr>
        <w:t>六安市</w:t>
      </w:r>
      <w:r>
        <w:rPr>
          <w:rFonts w:hint="default" w:ascii="仿宋_GB2312" w:hAnsi="仿宋" w:eastAsia="仿宋_GB2312"/>
          <w:sz w:val="32"/>
          <w:szCs w:val="32"/>
          <w:highlight w:val="none"/>
          <w:u w:val="none"/>
          <w:lang w:val="en" w:eastAsia="zh-CN"/>
        </w:rPr>
        <w:t>重点工程建设管理处</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2023年没有安排政府购买服务支出。</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eastAsia="zh-CN"/>
          <w14:textFill>
            <w14:solidFill>
              <w14:schemeClr w14:val="tx1"/>
            </w14:solidFill>
          </w14:textFill>
        </w:rPr>
        <w:t>十二</w:t>
      </w:r>
      <w:r>
        <w:rPr>
          <w:rFonts w:ascii="Times New Roman" w:hAnsi="Times New Roman" w:eastAsia="黑体"/>
          <w:color w:val="000000" w:themeColor="text1"/>
          <w:sz w:val="32"/>
          <w:szCs w:val="32"/>
          <w:highlight w:val="none"/>
          <w14:textFill>
            <w14:solidFill>
              <w14:schemeClr w14:val="tx1"/>
            </w14:solidFill>
          </w14:textFill>
        </w:rPr>
        <w:t>、关于</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“三公”经费</w:t>
      </w:r>
      <w:r>
        <w:rPr>
          <w:rFonts w:hint="eastAsia" w:ascii="Times New Roman" w:hAnsi="Times New Roman" w:eastAsia="黑体"/>
          <w:color w:val="000000" w:themeColor="text1"/>
          <w:sz w:val="32"/>
          <w:szCs w:val="32"/>
          <w:highlight w:val="none"/>
          <w14:textFill>
            <w14:solidFill>
              <w14:schemeClr w14:val="tx1"/>
            </w14:solidFill>
          </w14:textFill>
        </w:rPr>
        <w:t>支出</w:t>
      </w:r>
      <w:r>
        <w:rPr>
          <w:rFonts w:ascii="Times New Roman" w:hAnsi="Times New Roman" w:eastAsia="黑体"/>
          <w:color w:val="000000" w:themeColor="text1"/>
          <w:sz w:val="32"/>
          <w:szCs w:val="32"/>
          <w:highlight w:val="none"/>
          <w14:textFill>
            <w14:solidFill>
              <w14:schemeClr w14:val="tx1"/>
            </w14:solidFill>
          </w14:textFill>
        </w:rPr>
        <w:t>预算情况说明</w:t>
      </w:r>
    </w:p>
    <w:p>
      <w:pPr>
        <w:spacing w:line="60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14:textFill>
            <w14:solidFill>
              <w14:schemeClr w14:val="tx1"/>
            </w14:solidFill>
          </w14:textFill>
        </w:rPr>
        <w:t>一般公共预算财政拨款</w:t>
      </w:r>
      <w:r>
        <w:rPr>
          <w:rFonts w:ascii="Times New Roman" w:hAnsi="Times New Roman" w:eastAsia="仿宋_GB2312"/>
          <w:color w:val="000000" w:themeColor="text1"/>
          <w:sz w:val="32"/>
          <w:szCs w:val="32"/>
          <w:highlight w:val="none"/>
          <w14:textFill>
            <w14:solidFill>
              <w14:schemeClr w14:val="tx1"/>
            </w14:solidFill>
          </w14:textFill>
        </w:rPr>
        <w:t>“三公”经费支出预算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5.5</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olor w:val="000000" w:themeColor="text1"/>
          <w:sz w:val="32"/>
          <w:szCs w:val="32"/>
          <w:highlight w:val="none"/>
          <w14:textFill>
            <w14:solidFill>
              <w14:schemeClr w14:val="tx1"/>
            </w14:solidFill>
          </w14:textFill>
        </w:rPr>
        <w:t>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2022年</w:t>
      </w:r>
      <w:r>
        <w:rPr>
          <w:rFonts w:hint="eastAsia" w:ascii="Times New Roman" w:hAnsi="Times New Roman" w:eastAsia="仿宋_GB2312"/>
          <w:color w:val="000000" w:themeColor="text1"/>
          <w:sz w:val="32"/>
          <w:szCs w:val="32"/>
          <w:highlight w:val="none"/>
          <w14:textFill>
            <w14:solidFill>
              <w14:schemeClr w14:val="tx1"/>
            </w14:solidFill>
          </w14:textFill>
        </w:rPr>
        <w:t>相比持平</w:t>
      </w:r>
      <w:r>
        <w:rPr>
          <w:rFonts w:ascii="Times New Roman" w:hAnsi="Times New Roman" w:eastAsia="仿宋_GB2312"/>
          <w:color w:val="000000" w:themeColor="text1"/>
          <w:sz w:val="32"/>
          <w:szCs w:val="32"/>
          <w:highlight w:val="none"/>
          <w14:textFill>
            <w14:solidFill>
              <w14:schemeClr w14:val="tx1"/>
            </w14:solidFill>
          </w14:textFill>
        </w:rPr>
        <w:t>。其中因公出国（境）费</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万元，公务接待费</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w:t>
      </w:r>
      <w:r>
        <w:rPr>
          <w:rFonts w:ascii="Times New Roman" w:hAnsi="Times New Roman" w:eastAsia="仿宋_GB2312"/>
          <w:color w:val="000000" w:themeColor="text1"/>
          <w:sz w:val="32"/>
          <w:szCs w:val="32"/>
          <w:highlight w:val="none"/>
          <w14:textFill>
            <w14:solidFill>
              <w14:schemeClr w14:val="tx1"/>
            </w14:solidFill>
          </w14:textFill>
        </w:rPr>
        <w:t>万元，公务用车购置及运行费</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3.5</w:t>
      </w:r>
      <w:r>
        <w:rPr>
          <w:rFonts w:ascii="Times New Roman" w:hAnsi="Times New Roman" w:eastAsia="仿宋_GB2312"/>
          <w:color w:val="000000" w:themeColor="text1"/>
          <w:sz w:val="32"/>
          <w:szCs w:val="32"/>
          <w:highlight w:val="none"/>
          <w14:textFill>
            <w14:solidFill>
              <w14:schemeClr w14:val="tx1"/>
            </w14:solidFill>
          </w14:textFill>
        </w:rPr>
        <w:t>万元。具体情况如下：</w:t>
      </w:r>
    </w:p>
    <w:p>
      <w:pPr>
        <w:spacing w:line="600" w:lineRule="exact"/>
        <w:ind w:firstLine="642" w:firstLineChars="200"/>
        <w:rPr>
          <w:rFonts w:hint="eastAsia"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（一）因公出国（境）费。</w:t>
      </w:r>
      <w:r>
        <w:rPr>
          <w:rFonts w:ascii="Times New Roman" w:hAnsi="Times New Roman" w:eastAsia="仿宋_GB2312"/>
          <w:color w:val="000000" w:themeColor="text1"/>
          <w:sz w:val="32"/>
          <w:szCs w:val="32"/>
          <w:highlight w:val="none"/>
          <w14:textFill>
            <w14:solidFill>
              <w14:schemeClr w14:val="tx1"/>
            </w14:solidFill>
          </w14:textFill>
        </w:rPr>
        <w:t>支出预算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olor w:val="000000" w:themeColor="text1"/>
          <w:sz w:val="32"/>
          <w:szCs w:val="32"/>
          <w:highlight w:val="none"/>
          <w14:textFill>
            <w14:solidFill>
              <w14:schemeClr w14:val="tx1"/>
            </w14:solidFill>
          </w14:textFill>
        </w:rPr>
        <w:t>较</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上</w:t>
      </w:r>
      <w:r>
        <w:rPr>
          <w:rFonts w:hint="eastAsia" w:ascii="Times New Roman" w:hAnsi="Times New Roman" w:eastAsia="仿宋_GB2312"/>
          <w:color w:val="000000" w:themeColor="text1"/>
          <w:sz w:val="32"/>
          <w:szCs w:val="32"/>
          <w:highlight w:val="none"/>
          <w14:textFill>
            <w14:solidFill>
              <w14:schemeClr w14:val="tx1"/>
            </w14:solidFill>
          </w14:textFill>
        </w:rPr>
        <w:t>年预算</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持平</w:t>
      </w:r>
      <w:r>
        <w:rPr>
          <w:rFonts w:hint="eastAsia" w:ascii="Times New Roman" w:hAnsi="Times New Roman" w:eastAsia="仿宋_GB2312"/>
          <w:color w:val="000000" w:themeColor="text1"/>
          <w:sz w:val="32"/>
          <w:szCs w:val="32"/>
          <w:highlight w:val="none"/>
          <w14:textFill>
            <w14:solidFill>
              <w14:schemeClr w14:val="tx1"/>
            </w14:solidFill>
          </w14:textFill>
        </w:rPr>
        <w:t>，主要原因是经费使用贯彻落实党中央“八项规定”和市委市政府20条要求。</w:t>
      </w:r>
    </w:p>
    <w:p>
      <w:pPr>
        <w:spacing w:line="560" w:lineRule="exact"/>
        <w:ind w:firstLine="642" w:firstLineChars="200"/>
        <w:rPr>
          <w:rFonts w:hint="eastAsia"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（二）公务接待费。</w:t>
      </w:r>
      <w:r>
        <w:rPr>
          <w:rFonts w:ascii="Times New Roman" w:hAnsi="Times New Roman" w:eastAsia="仿宋_GB2312"/>
          <w:color w:val="000000" w:themeColor="text1"/>
          <w:sz w:val="32"/>
          <w:szCs w:val="32"/>
          <w:highlight w:val="none"/>
          <w14:textFill>
            <w14:solidFill>
              <w14:schemeClr w14:val="tx1"/>
            </w14:solidFill>
          </w14:textFill>
        </w:rPr>
        <w:t>支出预算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w:t>
      </w:r>
      <w:r>
        <w:rPr>
          <w:rFonts w:ascii="Times New Roman" w:hAnsi="Times New Roman" w:eastAsia="仿宋_GB2312"/>
          <w:color w:val="000000" w:themeColor="text1"/>
          <w:sz w:val="32"/>
          <w:szCs w:val="32"/>
          <w:highlight w:val="none"/>
          <w14:textFill>
            <w14:solidFill>
              <w14:schemeClr w14:val="tx1"/>
            </w14:solidFill>
          </w14:textFill>
        </w:rPr>
        <w:t>万元，与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2022年</w:t>
      </w:r>
      <w:r>
        <w:rPr>
          <w:rFonts w:ascii="Times New Roman" w:hAnsi="Times New Roman" w:eastAsia="仿宋_GB2312"/>
          <w:color w:val="000000" w:themeColor="text1"/>
          <w:sz w:val="32"/>
          <w:szCs w:val="32"/>
          <w:highlight w:val="none"/>
          <w14:textFill>
            <w14:solidFill>
              <w14:schemeClr w14:val="tx1"/>
            </w14:solidFill>
          </w14:textFill>
        </w:rPr>
        <w:t>相比持平，主要原因是</w:t>
      </w:r>
      <w:r>
        <w:rPr>
          <w:rFonts w:hint="eastAsia" w:ascii="Times New Roman" w:hAnsi="Times New Roman" w:eastAsia="仿宋_GB2312"/>
          <w:color w:val="000000" w:themeColor="text1"/>
          <w:sz w:val="32"/>
          <w:szCs w:val="32"/>
          <w:u w:val="none"/>
          <w:lang w:val="en-US" w:eastAsia="zh-CN"/>
          <w14:textFill>
            <w14:solidFill>
              <w14:schemeClr w14:val="tx1"/>
            </w14:solidFill>
          </w14:textFill>
        </w:rPr>
        <w:t>严格控制公务接待支出</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14:textFill>
            <w14:solidFill>
              <w14:schemeClr w14:val="tx1"/>
            </w14:solidFill>
          </w14:textFill>
        </w:rPr>
        <w:t>经费使用贯彻落实党中央“八项规定”和严格执行市直机关公务接待费管理</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办法</w:t>
      </w:r>
      <w:r>
        <w:rPr>
          <w:rFonts w:hint="eastAsia" w:ascii="Times New Roman" w:hAnsi="Times New Roman" w:eastAsia="仿宋_GB2312"/>
          <w:color w:val="000000" w:themeColor="text1"/>
          <w:sz w:val="32"/>
          <w:szCs w:val="32"/>
          <w:highlight w:val="none"/>
          <w14:textFill>
            <w14:solidFill>
              <w14:schemeClr w14:val="tx1"/>
            </w14:solidFill>
          </w14:textFill>
        </w:rPr>
        <w:t>规定。</w:t>
      </w:r>
    </w:p>
    <w:p>
      <w:pPr>
        <w:pStyle w:val="5"/>
        <w:widowControl w:val="0"/>
        <w:adjustRightInd w:val="0"/>
        <w:snapToGrid w:val="0"/>
        <w:spacing w:before="0" w:beforeAutospacing="0" w:after="0" w:afterAutospacing="0" w:line="560" w:lineRule="exact"/>
        <w:ind w:firstLine="642" w:firstLineChars="200"/>
        <w:jc w:val="both"/>
        <w:rPr>
          <w:rFonts w:ascii="Times New Roman" w:hAnsi="Times New Roman" w:eastAsia="仿宋_GB2312" w:cs="Times New Roman"/>
          <w:color w:val="FF0000"/>
          <w:sz w:val="32"/>
          <w:szCs w:val="32"/>
          <w:highlight w:val="none"/>
        </w:rPr>
      </w:pPr>
      <w:r>
        <w:rPr>
          <w:rFonts w:ascii="Times New Roman" w:hAnsi="Times New Roman" w:eastAsia="仿宋_GB2312"/>
          <w:b/>
          <w:color w:val="000000" w:themeColor="text1"/>
          <w:sz w:val="32"/>
          <w:szCs w:val="32"/>
          <w:highlight w:val="none"/>
          <w14:textFill>
            <w14:solidFill>
              <w14:schemeClr w14:val="tx1"/>
            </w14:solidFill>
          </w14:textFill>
        </w:rPr>
        <w:t>（三）公务用车购置及运行费。</w:t>
      </w:r>
      <w:r>
        <w:rPr>
          <w:rFonts w:ascii="Times New Roman" w:hAnsi="Times New Roman" w:eastAsia="仿宋_GB2312"/>
          <w:color w:val="000000" w:themeColor="text1"/>
          <w:sz w:val="32"/>
          <w:szCs w:val="32"/>
          <w:highlight w:val="none"/>
          <w14:textFill>
            <w14:solidFill>
              <w14:schemeClr w14:val="tx1"/>
            </w14:solidFill>
          </w14:textFill>
        </w:rPr>
        <w:t>支出预算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3.5</w:t>
      </w:r>
      <w:r>
        <w:rPr>
          <w:rFonts w:ascii="Times New Roman" w:hAnsi="Times New Roman" w:eastAsia="仿宋_GB2312"/>
          <w:color w:val="000000" w:themeColor="text1"/>
          <w:sz w:val="32"/>
          <w:szCs w:val="32"/>
          <w:highlight w:val="none"/>
          <w14:textFill>
            <w14:solidFill>
              <w14:schemeClr w14:val="tx1"/>
            </w14:solidFill>
          </w14:textFill>
        </w:rPr>
        <w:t>万元，与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2022年</w:t>
      </w:r>
      <w:r>
        <w:rPr>
          <w:rFonts w:ascii="Times New Roman" w:hAnsi="Times New Roman" w:eastAsia="仿宋_GB2312"/>
          <w:color w:val="000000" w:themeColor="text1"/>
          <w:sz w:val="32"/>
          <w:szCs w:val="32"/>
          <w:highlight w:val="none"/>
          <w14:textFill>
            <w14:solidFill>
              <w14:schemeClr w14:val="tx1"/>
            </w14:solidFill>
          </w14:textFill>
        </w:rPr>
        <w:t>相比持平</w:t>
      </w:r>
      <w:r>
        <w:rPr>
          <w:rFonts w:hint="eastAsia" w:ascii="Times New Roman" w:hAnsi="Times New Roman" w:eastAsia="仿宋_GB2312"/>
          <w:color w:val="000000" w:themeColor="text1"/>
          <w:sz w:val="32"/>
          <w:szCs w:val="32"/>
          <w:highlight w:val="none"/>
          <w14:textFill>
            <w14:solidFill>
              <w14:schemeClr w14:val="tx1"/>
            </w14:solidFill>
          </w14:textFill>
        </w:rPr>
        <w:t>，经费使用贯彻落实党中央“八项规定”和市委市政府20条要求。</w:t>
      </w:r>
      <w:r>
        <w:rPr>
          <w:rFonts w:ascii="Times New Roman" w:hAnsi="Times New Roman" w:eastAsia="仿宋_GB2312"/>
          <w:color w:val="000000" w:themeColor="text1"/>
          <w:sz w:val="32"/>
          <w:szCs w:val="32"/>
          <w:highlight w:val="none"/>
          <w14:textFill>
            <w14:solidFill>
              <w14:schemeClr w14:val="tx1"/>
            </w14:solidFill>
          </w14:textFill>
        </w:rPr>
        <w:t>其中：公务用车运行费</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3.5</w:t>
      </w:r>
      <w:r>
        <w:rPr>
          <w:rFonts w:ascii="Times New Roman" w:hAnsi="Times New Roman" w:eastAsia="仿宋_GB2312"/>
          <w:color w:val="000000" w:themeColor="text1"/>
          <w:sz w:val="32"/>
          <w:szCs w:val="32"/>
          <w:highlight w:val="none"/>
          <w14:textFill>
            <w14:solidFill>
              <w14:schemeClr w14:val="tx1"/>
            </w14:solidFill>
          </w14:textFill>
        </w:rPr>
        <w:t>万元，与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2022年</w:t>
      </w:r>
      <w:r>
        <w:rPr>
          <w:rFonts w:ascii="Times New Roman" w:hAnsi="Times New Roman" w:eastAsia="仿宋_GB2312"/>
          <w:color w:val="000000" w:themeColor="text1"/>
          <w:sz w:val="32"/>
          <w:szCs w:val="32"/>
          <w:highlight w:val="none"/>
          <w14:textFill>
            <w14:solidFill>
              <w14:schemeClr w14:val="tx1"/>
            </w14:solidFill>
          </w14:textFill>
        </w:rPr>
        <w:t>相比持平，主要原因是</w:t>
      </w:r>
      <w:r>
        <w:rPr>
          <w:rFonts w:hint="eastAsia" w:ascii="Times New Roman" w:hAnsi="Times New Roman" w:eastAsia="仿宋_GB2312"/>
          <w:color w:val="000000" w:themeColor="text1"/>
          <w:sz w:val="32"/>
          <w:szCs w:val="32"/>
          <w:u w:val="none"/>
          <w:lang w:val="en-US" w:eastAsia="zh-CN"/>
          <w14:textFill>
            <w14:solidFill>
              <w14:schemeClr w14:val="tx1"/>
            </w14:solidFill>
          </w14:textFill>
        </w:rPr>
        <w:t>严格公务用车管理</w:t>
      </w:r>
      <w:r>
        <w:rPr>
          <w:rFonts w:hint="eastAsia" w:ascii="Times New Roman" w:hAnsi="Times New Roman" w:eastAsia="仿宋_GB2312"/>
          <w:color w:val="000000" w:themeColor="text1"/>
          <w:sz w:val="32"/>
          <w:szCs w:val="32"/>
          <w:u w:val="none"/>
          <w14:textFill>
            <w14:solidFill>
              <w14:schemeClr w14:val="tx1"/>
            </w14:solidFill>
          </w14:textFill>
        </w:rPr>
        <w:t>,</w:t>
      </w:r>
      <w:r>
        <w:rPr>
          <w:rFonts w:hint="eastAsia" w:ascii="Times New Roman" w:hAnsi="Times New Roman" w:eastAsia="仿宋_GB2312"/>
          <w:color w:val="000000" w:themeColor="text1"/>
          <w:sz w:val="32"/>
          <w:szCs w:val="32"/>
          <w:u w:val="none"/>
          <w:lang w:val="en-US" w:eastAsia="zh-CN"/>
          <w14:textFill>
            <w14:solidFill>
              <w14:schemeClr w14:val="tx1"/>
            </w14:solidFill>
          </w14:textFill>
        </w:rPr>
        <w:t>严控公务用车经费支出，</w:t>
      </w:r>
      <w:r>
        <w:rPr>
          <w:rFonts w:ascii="Times New Roman" w:hAnsi="Times New Roman" w:eastAsia="仿宋_GB2312"/>
          <w:color w:val="000000" w:themeColor="text1"/>
          <w:sz w:val="32"/>
          <w:szCs w:val="32"/>
          <w:u w:val="none"/>
          <w14:textFill>
            <w14:solidFill>
              <w14:schemeClr w14:val="tx1"/>
            </w14:solidFill>
          </w14:textFill>
        </w:rPr>
        <w:t>主要用于</w:t>
      </w:r>
      <w:r>
        <w:rPr>
          <w:rFonts w:hint="eastAsia" w:ascii="Times New Roman" w:hAnsi="Times New Roman" w:eastAsia="仿宋_GB2312"/>
          <w:color w:val="000000" w:themeColor="text1"/>
          <w:sz w:val="32"/>
          <w:szCs w:val="32"/>
          <w:u w:val="none"/>
          <w:lang w:val="en-US" w:eastAsia="zh-CN"/>
          <w14:textFill>
            <w14:solidFill>
              <w14:schemeClr w14:val="tx1"/>
            </w14:solidFill>
          </w14:textFill>
        </w:rPr>
        <w:t>工作必要的公务交通支出</w:t>
      </w:r>
      <w:r>
        <w:rPr>
          <w:rFonts w:ascii="Times New Roman" w:hAnsi="Times New Roman" w:eastAsia="仿宋_GB2312"/>
          <w:color w:val="000000" w:themeColor="text1"/>
          <w:sz w:val="32"/>
          <w:szCs w:val="32"/>
          <w:highlight w:val="none"/>
          <w14:textFill>
            <w14:solidFill>
              <w14:schemeClr w14:val="tx1"/>
            </w14:solidFill>
          </w14:textFill>
        </w:rPr>
        <w:t>。公务用车购置费</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万元，与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2022年</w:t>
      </w:r>
      <w:r>
        <w:rPr>
          <w:rFonts w:ascii="Times New Roman" w:hAnsi="Times New Roman" w:eastAsia="仿宋_GB2312"/>
          <w:color w:val="000000" w:themeColor="text1"/>
          <w:sz w:val="32"/>
          <w:szCs w:val="32"/>
          <w:highlight w:val="none"/>
          <w14:textFill>
            <w14:solidFill>
              <w14:schemeClr w14:val="tx1"/>
            </w14:solidFill>
          </w14:textFill>
        </w:rPr>
        <w:t>相比持平，</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主要原因是未安排公务用车购置。</w:t>
      </w:r>
    </w:p>
    <w:p>
      <w:pPr>
        <w:numPr>
          <w:ilvl w:val="0"/>
          <w:numId w:val="5"/>
        </w:num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14:textFill>
            <w14:solidFill>
              <w14:schemeClr w14:val="tx1"/>
            </w14:solidFill>
          </w14:textFill>
        </w:rPr>
        <w:t>其他</w:t>
      </w:r>
      <w:r>
        <w:rPr>
          <w:rFonts w:ascii="Times New Roman" w:hAnsi="Times New Roman" w:eastAsia="黑体"/>
          <w:color w:val="000000" w:themeColor="text1"/>
          <w:sz w:val="32"/>
          <w:szCs w:val="32"/>
          <w:highlight w:val="none"/>
          <w14:textFill>
            <w14:solidFill>
              <w14:schemeClr w14:val="tx1"/>
            </w14:solidFill>
          </w14:textFill>
        </w:rPr>
        <w:t>重要事项情况说明</w:t>
      </w:r>
    </w:p>
    <w:p>
      <w:pPr>
        <w:spacing w:line="560" w:lineRule="exact"/>
        <w:ind w:firstLine="642" w:firstLineChars="200"/>
        <w:rPr>
          <w:rFonts w:ascii="Times New Roman" w:hAnsi="Times New Roman" w:eastAsia="仿宋_GB2312"/>
          <w:b/>
          <w:color w:val="000000" w:themeColor="text1"/>
          <w:kern w:val="0"/>
          <w:sz w:val="32"/>
          <w:szCs w:val="32"/>
          <w:highlight w:val="none"/>
          <w14:textFill>
            <w14:solidFill>
              <w14:schemeClr w14:val="tx1"/>
            </w14:solidFill>
          </w14:textFill>
        </w:rPr>
      </w:pPr>
      <w:r>
        <w:rPr>
          <w:rFonts w:ascii="Times New Roman" w:hAnsi="Times New Roman" w:eastAsia="仿宋_GB2312"/>
          <w:b/>
          <w:color w:val="000000" w:themeColor="text1"/>
          <w:kern w:val="0"/>
          <w:sz w:val="32"/>
          <w:szCs w:val="32"/>
          <w:highlight w:val="none"/>
          <w14:textFill>
            <w14:solidFill>
              <w14:schemeClr w14:val="tx1"/>
            </w14:solidFill>
          </w14:textFill>
        </w:rPr>
        <w:t>（</w:t>
      </w:r>
      <w:r>
        <w:rPr>
          <w:rFonts w:hint="eastAsia" w:ascii="Times New Roman" w:hAnsi="Times New Roman" w:eastAsia="仿宋_GB2312"/>
          <w:b/>
          <w:color w:val="000000" w:themeColor="text1"/>
          <w:kern w:val="0"/>
          <w:sz w:val="32"/>
          <w:szCs w:val="32"/>
          <w:highlight w:val="none"/>
          <w14:textFill>
            <w14:solidFill>
              <w14:schemeClr w14:val="tx1"/>
            </w14:solidFill>
          </w14:textFill>
        </w:rPr>
        <w:t>一</w:t>
      </w:r>
      <w:r>
        <w:rPr>
          <w:rFonts w:ascii="Times New Roman" w:hAnsi="Times New Roman" w:eastAsia="仿宋_GB2312"/>
          <w:b/>
          <w:color w:val="000000" w:themeColor="text1"/>
          <w:kern w:val="0"/>
          <w:sz w:val="32"/>
          <w:szCs w:val="32"/>
          <w:highlight w:val="none"/>
          <w14:textFill>
            <w14:solidFill>
              <w14:schemeClr w14:val="tx1"/>
            </w14:solidFill>
          </w14:textFill>
        </w:rPr>
        <w:t>）</w:t>
      </w:r>
      <w:r>
        <w:rPr>
          <w:rFonts w:hint="eastAsia" w:ascii="Times New Roman" w:hAnsi="Times New Roman" w:eastAsia="仿宋_GB2312"/>
          <w:b/>
          <w:color w:val="000000" w:themeColor="text1"/>
          <w:kern w:val="0"/>
          <w:sz w:val="32"/>
          <w:szCs w:val="32"/>
          <w:highlight w:val="none"/>
          <w14:textFill>
            <w14:solidFill>
              <w14:schemeClr w14:val="tx1"/>
            </w14:solidFill>
          </w14:textFill>
        </w:rPr>
        <w:t>项目绩效目标编制情况</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r>
        <w:rPr>
          <w:rFonts w:ascii="Times New Roman" w:hAnsi="Times New Roman" w:eastAsia="仿宋_GB2312"/>
          <w:color w:val="000000" w:themeColor="text1"/>
          <w:sz w:val="32"/>
          <w:szCs w:val="32"/>
          <w:highlight w:val="none"/>
          <w14:textFill>
            <w14:solidFill>
              <w14:schemeClr w14:val="tx1"/>
            </w14:solidFill>
          </w14:textFill>
        </w:rPr>
        <w:t>没有需编制绩效目标的</w:t>
      </w:r>
      <w:r>
        <w:rPr>
          <w:rFonts w:hint="eastAsia" w:ascii="Times New Roman" w:hAnsi="Times New Roman" w:eastAsia="仿宋_GB2312"/>
          <w:color w:val="000000" w:themeColor="text1"/>
          <w:sz w:val="32"/>
          <w:szCs w:val="32"/>
          <w:highlight w:val="none"/>
          <w14:textFill>
            <w14:solidFill>
              <w14:schemeClr w14:val="tx1"/>
            </w14:solidFill>
          </w14:textFill>
        </w:rPr>
        <w:t>项目</w:t>
      </w:r>
      <w:r>
        <w:rPr>
          <w:rFonts w:ascii="Times New Roman" w:hAnsi="Times New Roman" w:eastAsia="仿宋_GB2312"/>
          <w:color w:val="000000" w:themeColor="text1"/>
          <w:sz w:val="32"/>
          <w:szCs w:val="32"/>
          <w:highlight w:val="none"/>
          <w14:textFill>
            <w14:solidFill>
              <w14:schemeClr w14:val="tx1"/>
            </w14:solidFill>
          </w14:textFill>
        </w:rPr>
        <w:t>。</w:t>
      </w:r>
    </w:p>
    <w:p>
      <w:pPr>
        <w:spacing w:line="560" w:lineRule="exact"/>
        <w:ind w:firstLine="642" w:firstLineChars="200"/>
        <w:rPr>
          <w:rFonts w:ascii="Times New Roman" w:hAnsi="Times New Roman" w:eastAsia="仿宋_GB2312"/>
          <w:b/>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kern w:val="0"/>
          <w:sz w:val="32"/>
          <w:szCs w:val="32"/>
          <w:highlight w:val="none"/>
          <w14:textFill>
            <w14:solidFill>
              <w14:schemeClr w14:val="tx1"/>
            </w14:solidFill>
          </w14:textFill>
        </w:rPr>
        <w:t>（</w:t>
      </w:r>
      <w:r>
        <w:rPr>
          <w:rFonts w:hint="eastAsia" w:ascii="Times New Roman" w:hAnsi="Times New Roman" w:eastAsia="仿宋_GB2312"/>
          <w:b/>
          <w:color w:val="000000" w:themeColor="text1"/>
          <w:kern w:val="0"/>
          <w:sz w:val="32"/>
          <w:szCs w:val="32"/>
          <w:highlight w:val="none"/>
          <w14:textFill>
            <w14:solidFill>
              <w14:schemeClr w14:val="tx1"/>
            </w14:solidFill>
          </w14:textFill>
        </w:rPr>
        <w:t>二</w:t>
      </w:r>
      <w:r>
        <w:rPr>
          <w:rFonts w:ascii="Times New Roman" w:hAnsi="Times New Roman" w:eastAsia="仿宋_GB2312"/>
          <w:b/>
          <w:color w:val="000000" w:themeColor="text1"/>
          <w:kern w:val="0"/>
          <w:sz w:val="32"/>
          <w:szCs w:val="32"/>
          <w:highlight w:val="none"/>
          <w14:textFill>
            <w14:solidFill>
              <w14:schemeClr w14:val="tx1"/>
            </w14:solidFill>
          </w14:textFill>
        </w:rPr>
        <w:t>）机关运行经费。</w:t>
      </w:r>
    </w:p>
    <w:p>
      <w:pPr>
        <w:adjustRightInd w:val="0"/>
        <w:snapToGrid w:val="0"/>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六安市重点工程建设管理处</w:t>
      </w:r>
      <w:r>
        <w:rPr>
          <w:rFonts w:ascii="Times New Roman" w:hAnsi="Times New Roman" w:eastAsia="仿宋_GB2312"/>
          <w:color w:val="000000" w:themeColor="text1"/>
          <w:sz w:val="32"/>
          <w:szCs w:val="32"/>
          <w:highlight w:val="none"/>
          <w14:textFill>
            <w14:solidFill>
              <w14:schemeClr w14:val="tx1"/>
            </w14:solidFill>
          </w14:textFill>
        </w:rPr>
        <w:t>系非参公事业单位，无机关运行经费。</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本</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部门</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1</w:t>
      </w:r>
      <w:r>
        <w:rPr>
          <w:rFonts w:ascii="Times New Roman" w:hAnsi="Times New Roman" w:eastAsia="仿宋_GB2312"/>
          <w:color w:val="000000" w:themeColor="text1"/>
          <w:kern w:val="0"/>
          <w:sz w:val="32"/>
          <w:szCs w:val="32"/>
          <w:highlight w:val="none"/>
          <w14:textFill>
            <w14:solidFill>
              <w14:schemeClr w14:val="tx1"/>
            </w14:solidFill>
          </w14:textFill>
        </w:rPr>
        <w:t>家单位</w:t>
      </w:r>
      <w:r>
        <w:rPr>
          <w:rFonts w:ascii="Times New Roman" w:hAnsi="Times New Roman" w:eastAsia="仿宋_GB2312"/>
          <w:color w:val="000000" w:themeColor="text1"/>
          <w:sz w:val="32"/>
          <w:szCs w:val="32"/>
          <w:highlight w:val="none"/>
          <w14:textFill>
            <w14:solidFill>
              <w14:schemeClr w14:val="tx1"/>
            </w14:solidFill>
          </w14:textFill>
        </w:rPr>
        <w:t>运行经费财政拨款预算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56.38</w:t>
      </w:r>
      <w:r>
        <w:rPr>
          <w:rFonts w:ascii="Times New Roman" w:hAnsi="Times New Roman" w:eastAsia="仿宋_GB2312"/>
          <w:color w:val="000000" w:themeColor="text1"/>
          <w:kern w:val="0"/>
          <w:sz w:val="32"/>
          <w:szCs w:val="32"/>
          <w:highlight w:val="none"/>
          <w14:textFill>
            <w14:solidFill>
              <w14:schemeClr w14:val="tx1"/>
            </w14:solidFill>
          </w14:textFill>
        </w:rPr>
        <w:t>万元，</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较2022年</w:t>
      </w:r>
      <w:r>
        <w:rPr>
          <w:rFonts w:ascii="Times New Roman" w:hAnsi="Times New Roman" w:eastAsia="仿宋_GB2312"/>
          <w:color w:val="000000" w:themeColor="text1"/>
          <w:kern w:val="0"/>
          <w:sz w:val="32"/>
          <w:szCs w:val="32"/>
          <w:highlight w:val="none"/>
          <w14:textFill>
            <w14:solidFill>
              <w14:schemeClr w14:val="tx1"/>
            </w14:solidFill>
          </w14:textFill>
        </w:rPr>
        <w:t>增加</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4.53</w:t>
      </w:r>
      <w:r>
        <w:rPr>
          <w:rFonts w:ascii="Times New Roman" w:hAnsi="Times New Roman" w:eastAsia="仿宋_GB2312"/>
          <w:color w:val="000000" w:themeColor="text1"/>
          <w:sz w:val="32"/>
          <w:szCs w:val="32"/>
          <w:highlight w:val="none"/>
          <w14:textFill>
            <w14:solidFill>
              <w14:schemeClr w14:val="tx1"/>
            </w14:solidFill>
          </w14:textFill>
        </w:rPr>
        <w:t>万元，增长</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8.74</w:t>
      </w:r>
      <w:r>
        <w:rPr>
          <w:rFonts w:ascii="Times New Roman" w:hAnsi="Times New Roman" w:eastAsia="仿宋_GB2312"/>
          <w:color w:val="000000" w:themeColor="text1"/>
          <w:sz w:val="32"/>
          <w:szCs w:val="32"/>
          <w:highlight w:val="none"/>
          <w14:textFill>
            <w14:solidFill>
              <w14:schemeClr w14:val="tx1"/>
            </w14:solidFill>
          </w14:textFill>
        </w:rPr>
        <w:t>%，增长主要原因是</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人员调整</w:t>
      </w:r>
      <w:r>
        <w:rPr>
          <w:rFonts w:ascii="Times New Roman" w:hAnsi="Times New Roman" w:eastAsia="仿宋_GB2312"/>
          <w:color w:val="000000" w:themeColor="text1"/>
          <w:sz w:val="32"/>
          <w:szCs w:val="32"/>
          <w:highlight w:val="none"/>
          <w14:textFill>
            <w14:solidFill>
              <w14:schemeClr w14:val="tx1"/>
            </w14:solidFill>
          </w14:textFill>
        </w:rPr>
        <w:t>。</w:t>
      </w:r>
    </w:p>
    <w:p>
      <w:pPr>
        <w:spacing w:line="560" w:lineRule="exact"/>
        <w:ind w:firstLine="642" w:firstLineChars="200"/>
        <w:rPr>
          <w:rFonts w:ascii="Times New Roman" w:hAnsi="Times New Roman" w:eastAsia="仿宋_GB2312"/>
          <w:b/>
          <w:color w:val="000000" w:themeColor="text1"/>
          <w:kern w:val="0"/>
          <w:sz w:val="32"/>
          <w:szCs w:val="32"/>
          <w:highlight w:val="none"/>
          <w14:textFill>
            <w14:solidFill>
              <w14:schemeClr w14:val="tx1"/>
            </w14:solidFill>
          </w14:textFill>
        </w:rPr>
      </w:pPr>
      <w:r>
        <w:rPr>
          <w:rFonts w:ascii="Times New Roman" w:hAnsi="Times New Roman" w:eastAsia="仿宋_GB2312"/>
          <w:b/>
          <w:color w:val="000000" w:themeColor="text1"/>
          <w:kern w:val="0"/>
          <w:sz w:val="32"/>
          <w:szCs w:val="32"/>
          <w:highlight w:val="none"/>
          <w14:textFill>
            <w14:solidFill>
              <w14:schemeClr w14:val="tx1"/>
            </w14:solidFill>
          </w14:textFill>
        </w:rPr>
        <w:t>（</w:t>
      </w:r>
      <w:r>
        <w:rPr>
          <w:rFonts w:hint="eastAsia" w:ascii="Times New Roman" w:hAnsi="Times New Roman" w:eastAsia="仿宋_GB2312"/>
          <w:b/>
          <w:color w:val="000000" w:themeColor="text1"/>
          <w:kern w:val="0"/>
          <w:sz w:val="32"/>
          <w:szCs w:val="32"/>
          <w:highlight w:val="none"/>
          <w14:textFill>
            <w14:solidFill>
              <w14:schemeClr w14:val="tx1"/>
            </w14:solidFill>
          </w14:textFill>
        </w:rPr>
        <w:t>三</w:t>
      </w:r>
      <w:r>
        <w:rPr>
          <w:rFonts w:ascii="Times New Roman" w:hAnsi="Times New Roman" w:eastAsia="仿宋_GB2312"/>
          <w:b/>
          <w:color w:val="000000" w:themeColor="text1"/>
          <w:kern w:val="0"/>
          <w:sz w:val="32"/>
          <w:szCs w:val="32"/>
          <w:highlight w:val="none"/>
          <w14:textFill>
            <w14:solidFill>
              <w14:schemeClr w14:val="tx1"/>
            </w14:solidFill>
          </w14:textFill>
        </w:rPr>
        <w:t>）政府采购情况。</w:t>
      </w:r>
    </w:p>
    <w:p>
      <w:pPr>
        <w:spacing w:line="560" w:lineRule="exact"/>
        <w:ind w:firstLine="640" w:firstLineChars="200"/>
        <w:rPr>
          <w:rFonts w:hint="eastAsia" w:ascii="Times New Roman" w:hAnsi="Times New Roman" w:eastAsia="仿宋_GB2312"/>
          <w:color w:val="000000" w:themeColor="text1"/>
          <w:kern w:val="0"/>
          <w:sz w:val="32"/>
          <w:szCs w:val="32"/>
          <w:u w:val="none"/>
          <w:lang w:eastAsia="zh-CN"/>
          <w14:textFill>
            <w14:solidFill>
              <w14:schemeClr w14:val="tx1"/>
            </w14:solidFill>
          </w14:textFill>
        </w:rPr>
      </w:pPr>
      <w:r>
        <w:rPr>
          <w:rFonts w:hint="eastAsia" w:ascii="Times New Roman" w:hAnsi="Times New Roman" w:eastAsia="仿宋_GB2312"/>
          <w:color w:val="000000" w:themeColor="text1"/>
          <w:kern w:val="0"/>
          <w:sz w:val="32"/>
          <w:szCs w:val="32"/>
          <w:u w:val="none"/>
          <w:lang w:eastAsia="zh-CN"/>
          <w14:textFill>
            <w14:solidFill>
              <w14:schemeClr w14:val="tx1"/>
            </w14:solidFill>
          </w14:textFill>
        </w:rPr>
        <w:t>202</w:t>
      </w:r>
      <w:r>
        <w:rPr>
          <w:rFonts w:hint="eastAsia" w:ascii="Times New Roman" w:hAnsi="Times New Roman" w:eastAsia="仿宋_GB2312"/>
          <w:color w:val="000000" w:themeColor="text1"/>
          <w:kern w:val="0"/>
          <w:sz w:val="32"/>
          <w:szCs w:val="32"/>
          <w:u w:val="none"/>
          <w:lang w:val="en-US" w:eastAsia="zh-CN"/>
          <w14:textFill>
            <w14:solidFill>
              <w14:schemeClr w14:val="tx1"/>
            </w14:solidFill>
          </w14:textFill>
        </w:rPr>
        <w:t>3</w:t>
      </w:r>
      <w:r>
        <w:rPr>
          <w:rFonts w:hint="eastAsia" w:ascii="Times New Roman" w:hAnsi="Times New Roman" w:eastAsia="仿宋_GB2312"/>
          <w:color w:val="000000" w:themeColor="text1"/>
          <w:kern w:val="0"/>
          <w:sz w:val="32"/>
          <w:szCs w:val="32"/>
          <w:u w:val="none"/>
          <w:lang w:eastAsia="zh-CN"/>
          <w14:textFill>
            <w14:solidFill>
              <w14:schemeClr w14:val="tx1"/>
            </w14:solidFill>
          </w14:textFill>
        </w:rPr>
        <w:t>年</w:t>
      </w:r>
      <w:r>
        <w:rPr>
          <w:rFonts w:hint="eastAsia" w:ascii="Times New Roman" w:hAnsi="Times New Roman" w:eastAsia="仿宋_GB2312"/>
          <w:color w:val="000000" w:themeColor="text1"/>
          <w:sz w:val="32"/>
          <w:szCs w:val="32"/>
          <w:u w:val="none"/>
          <w:lang w:eastAsia="zh-CN"/>
          <w14:textFill>
            <w14:solidFill>
              <w14:schemeClr w14:val="tx1"/>
            </w14:solidFill>
          </w14:textFill>
        </w:rPr>
        <w:t>六安市重点工程建设管理处</w:t>
      </w:r>
      <w:r>
        <w:rPr>
          <w:rFonts w:hint="eastAsia" w:ascii="Times New Roman" w:hAnsi="Times New Roman" w:eastAsia="仿宋_GB2312"/>
          <w:color w:val="000000" w:themeColor="text1"/>
          <w:sz w:val="32"/>
          <w:szCs w:val="32"/>
          <w:u w:val="none"/>
          <w:lang w:val="en-US" w:eastAsia="zh-CN"/>
          <w14:textFill>
            <w14:solidFill>
              <w14:schemeClr w14:val="tx1"/>
            </w14:solidFill>
          </w14:textFill>
        </w:rPr>
        <w:t>未安排</w:t>
      </w:r>
      <w:r>
        <w:rPr>
          <w:rFonts w:ascii="Times New Roman" w:hAnsi="Times New Roman" w:eastAsia="仿宋_GB2312"/>
          <w:color w:val="000000" w:themeColor="text1"/>
          <w:kern w:val="0"/>
          <w:sz w:val="32"/>
          <w:szCs w:val="32"/>
          <w:u w:val="none"/>
          <w14:textFill>
            <w14:solidFill>
              <w14:schemeClr w14:val="tx1"/>
            </w14:solidFill>
          </w14:textFill>
        </w:rPr>
        <w:t>政府采购预算</w:t>
      </w:r>
      <w:r>
        <w:rPr>
          <w:rFonts w:hint="eastAsia" w:ascii="Times New Roman" w:hAnsi="Times New Roman" w:eastAsia="仿宋_GB2312"/>
          <w:color w:val="000000" w:themeColor="text1"/>
          <w:kern w:val="0"/>
          <w:sz w:val="32"/>
          <w:szCs w:val="32"/>
          <w:u w:val="none"/>
          <w:lang w:eastAsia="zh-CN"/>
          <w14:textFill>
            <w14:solidFill>
              <w14:schemeClr w14:val="tx1"/>
            </w14:solidFill>
          </w14:textFill>
        </w:rPr>
        <w:t>。</w:t>
      </w:r>
    </w:p>
    <w:p>
      <w:pPr>
        <w:spacing w:line="560" w:lineRule="exact"/>
        <w:ind w:firstLine="642" w:firstLineChars="200"/>
        <w:rPr>
          <w:rFonts w:ascii="Times New Roman" w:hAnsi="Times New Roman" w:eastAsia="仿宋_GB2312"/>
          <w:b/>
          <w:color w:val="000000" w:themeColor="text1"/>
          <w:kern w:val="0"/>
          <w:sz w:val="32"/>
          <w:szCs w:val="32"/>
          <w:highlight w:val="none"/>
          <w14:textFill>
            <w14:solidFill>
              <w14:schemeClr w14:val="tx1"/>
            </w14:solidFill>
          </w14:textFill>
        </w:rPr>
      </w:pPr>
      <w:r>
        <w:rPr>
          <w:rFonts w:ascii="Times New Roman" w:hAnsi="Times New Roman" w:eastAsia="仿宋_GB2312"/>
          <w:b/>
          <w:color w:val="000000" w:themeColor="text1"/>
          <w:kern w:val="0"/>
          <w:sz w:val="32"/>
          <w:szCs w:val="32"/>
          <w:highlight w:val="none"/>
          <w14:textFill>
            <w14:solidFill>
              <w14:schemeClr w14:val="tx1"/>
            </w14:solidFill>
          </w14:textFill>
        </w:rPr>
        <w:t>（</w:t>
      </w:r>
      <w:r>
        <w:rPr>
          <w:rFonts w:hint="eastAsia" w:ascii="Times New Roman" w:hAnsi="Times New Roman" w:eastAsia="仿宋_GB2312"/>
          <w:b/>
          <w:color w:val="000000" w:themeColor="text1"/>
          <w:kern w:val="0"/>
          <w:sz w:val="32"/>
          <w:szCs w:val="32"/>
          <w:highlight w:val="none"/>
          <w14:textFill>
            <w14:solidFill>
              <w14:schemeClr w14:val="tx1"/>
            </w14:solidFill>
          </w14:textFill>
        </w:rPr>
        <w:t>四</w:t>
      </w:r>
      <w:r>
        <w:rPr>
          <w:rFonts w:ascii="Times New Roman" w:hAnsi="Times New Roman" w:eastAsia="仿宋_GB2312"/>
          <w:b/>
          <w:color w:val="000000" w:themeColor="text1"/>
          <w:kern w:val="0"/>
          <w:sz w:val="32"/>
          <w:szCs w:val="32"/>
          <w:highlight w:val="none"/>
          <w14:textFill>
            <w14:solidFill>
              <w14:schemeClr w14:val="tx1"/>
            </w14:solidFill>
          </w14:textFill>
        </w:rPr>
        <w:t>）国有资产占有使用情况。</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截至</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2022年</w:t>
      </w:r>
      <w:r>
        <w:rPr>
          <w:rFonts w:ascii="Times New Roman" w:hAnsi="Times New Roman" w:eastAsia="仿宋_GB2312"/>
          <w:color w:val="000000" w:themeColor="text1"/>
          <w:sz w:val="32"/>
          <w:szCs w:val="32"/>
          <w:highlight w:val="none"/>
          <w14:textFill>
            <w14:solidFill>
              <w14:schemeClr w14:val="tx1"/>
            </w14:solidFill>
          </w14:textFill>
        </w:rPr>
        <w:t>12月，</w:t>
      </w:r>
      <w:bookmarkStart w:id="0" w:name="_GoBack"/>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none"/>
          <w:lang w:val="en"/>
          <w14:textFill>
            <w14:solidFill>
              <w14:schemeClr w14:val="tx1"/>
            </w14:solidFill>
          </w14:textFill>
        </w:rPr>
        <w:t>重点工程建设管理处</w:t>
      </w:r>
      <w:bookmarkEnd w:id="0"/>
      <w:r>
        <w:rPr>
          <w:rFonts w:ascii="Times New Roman" w:hAnsi="Times New Roman" w:eastAsia="仿宋_GB2312"/>
          <w:color w:val="000000" w:themeColor="text1"/>
          <w:sz w:val="32"/>
          <w:szCs w:val="32"/>
          <w:highlight w:val="none"/>
          <w14:textFill>
            <w14:solidFill>
              <w14:schemeClr w14:val="tx1"/>
            </w14:solidFill>
          </w14:textFill>
        </w:rPr>
        <w:t>固定资产总金额</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23.1</w:t>
      </w:r>
      <w:r>
        <w:rPr>
          <w:rFonts w:ascii="Times New Roman" w:hAnsi="Times New Roman" w:eastAsia="仿宋_GB2312"/>
          <w:color w:val="000000" w:themeColor="text1"/>
          <w:sz w:val="32"/>
          <w:szCs w:val="32"/>
          <w:highlight w:val="none"/>
          <w14:textFill>
            <w14:solidFill>
              <w14:schemeClr w14:val="tx1"/>
            </w14:solidFill>
          </w14:textFill>
        </w:rPr>
        <w:t>万元，较上年减少</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1.61</w:t>
      </w:r>
      <w:r>
        <w:rPr>
          <w:rFonts w:ascii="Times New Roman" w:hAnsi="Times New Roman" w:eastAsia="仿宋_GB2312"/>
          <w:color w:val="000000" w:themeColor="text1"/>
          <w:sz w:val="32"/>
          <w:szCs w:val="32"/>
          <w:highlight w:val="none"/>
          <w14:textFill>
            <w14:solidFill>
              <w14:schemeClr w14:val="tx1"/>
            </w14:solidFill>
          </w14:textFill>
        </w:rPr>
        <w:t>万元，其中，土地、房屋及构筑物</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万元、通用设备</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12.04</w:t>
      </w:r>
      <w:r>
        <w:rPr>
          <w:rFonts w:ascii="Times New Roman" w:hAnsi="Times New Roman" w:eastAsia="仿宋_GB2312"/>
          <w:color w:val="000000" w:themeColor="text1"/>
          <w:sz w:val="32"/>
          <w:szCs w:val="32"/>
          <w:highlight w:val="none"/>
          <w14:textFill>
            <w14:solidFill>
              <w14:schemeClr w14:val="tx1"/>
            </w14:solidFill>
          </w14:textFill>
        </w:rPr>
        <w:t>万元、专用设备</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6.38</w:t>
      </w:r>
      <w:r>
        <w:rPr>
          <w:rFonts w:ascii="Times New Roman" w:hAnsi="Times New Roman" w:eastAsia="仿宋_GB2312"/>
          <w:color w:val="000000" w:themeColor="text1"/>
          <w:sz w:val="32"/>
          <w:szCs w:val="32"/>
          <w:highlight w:val="none"/>
          <w14:textFill>
            <w14:solidFill>
              <w14:schemeClr w14:val="tx1"/>
            </w14:solidFill>
          </w14:textFill>
        </w:rPr>
        <w:t>万元、其他资产</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4.68</w:t>
      </w:r>
      <w:r>
        <w:rPr>
          <w:rFonts w:ascii="Times New Roman" w:hAnsi="Times New Roman" w:eastAsia="仿宋_GB2312"/>
          <w:color w:val="000000" w:themeColor="text1"/>
          <w:sz w:val="32"/>
          <w:szCs w:val="32"/>
          <w:highlight w:val="none"/>
          <w14:textFill>
            <w14:solidFill>
              <w14:schemeClr w14:val="tx1"/>
            </w14:solidFill>
          </w14:textFill>
        </w:rPr>
        <w:t>万元。</w:t>
      </w:r>
    </w:p>
    <w:p>
      <w:pPr>
        <w:spacing w:line="560" w:lineRule="exact"/>
        <w:ind w:firstLine="640" w:firstLineChars="200"/>
        <w:rPr>
          <w:rFonts w:hint="eastAsia" w:ascii="Times New Roman" w:hAnsi="Times New Roman" w:eastAsia="仿宋_GB2312"/>
          <w:color w:val="FF0000"/>
          <w:sz w:val="32"/>
          <w:szCs w:val="32"/>
          <w:highlight w:val="none"/>
          <w:lang w:eastAsia="zh-CN"/>
        </w:rPr>
      </w:pPr>
      <w:r>
        <w:rPr>
          <w:rFonts w:hint="eastAsia" w:ascii="Times New Roman" w:hAnsi="Times New Roman" w:eastAsia="仿宋_GB2312"/>
          <w:color w:val="000000" w:themeColor="text1"/>
          <w:sz w:val="32"/>
          <w:szCs w:val="32"/>
          <w:highlight w:val="none"/>
          <w14:textFill>
            <w14:solidFill>
              <w14:schemeClr w14:val="tx1"/>
            </w14:solidFill>
          </w14:textFill>
        </w:rPr>
        <w:t>单位</w:t>
      </w:r>
      <w:r>
        <w:rPr>
          <w:rFonts w:ascii="Times New Roman" w:hAnsi="Times New Roman" w:eastAsia="仿宋_GB2312"/>
          <w:color w:val="000000" w:themeColor="text1"/>
          <w:sz w:val="32"/>
          <w:szCs w:val="32"/>
          <w:highlight w:val="none"/>
          <w14:textFill>
            <w14:solidFill>
              <w14:schemeClr w14:val="tx1"/>
            </w14:solidFill>
          </w14:textFill>
        </w:rPr>
        <w:t>车改后保留车辆</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辆</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单位价值50万元以上的通用设备有</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台（套），单位价值100万元以上的专用设备有</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 xml:space="preserve">台（套）。 </w:t>
      </w:r>
    </w:p>
    <w:p>
      <w:pPr>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kern w:val="0"/>
          <w:sz w:val="32"/>
          <w:szCs w:val="32"/>
          <w:highlight w:val="none"/>
          <w:u w:val="none"/>
          <w:lang w:eastAsia="zh-CN"/>
          <w14:textFill>
            <w14:solidFill>
              <w14:schemeClr w14:val="tx1"/>
            </w14:solidFill>
          </w14:textFill>
        </w:rPr>
        <w:t>部门</w:t>
      </w:r>
      <w:r>
        <w:rPr>
          <w:rFonts w:ascii="Times New Roman" w:hAnsi="Times New Roman" w:eastAsia="仿宋_GB2312"/>
          <w:color w:val="000000" w:themeColor="text1"/>
          <w:kern w:val="0"/>
          <w:sz w:val="32"/>
          <w:szCs w:val="32"/>
          <w:highlight w:val="none"/>
          <w:u w:val="none"/>
          <w14:textFill>
            <w14:solidFill>
              <w14:schemeClr w14:val="tx1"/>
            </w14:solidFill>
          </w14:textFill>
        </w:rPr>
        <w:t>预算安排购置车辆</w:t>
      </w:r>
      <w:r>
        <w:rPr>
          <w:rFonts w:hint="eastAsia" w:ascii="Times New Roman" w:hAnsi="Times New Roman" w:eastAsia="仿宋_GB2312"/>
          <w:color w:val="000000" w:themeColor="text1"/>
          <w:kern w:val="0"/>
          <w:sz w:val="32"/>
          <w:szCs w:val="32"/>
          <w:highlight w:val="none"/>
          <w:u w:val="none"/>
          <w:lang w:val="en-US" w:eastAsia="zh-CN"/>
          <w14:textFill>
            <w14:solidFill>
              <w14:schemeClr w14:val="tx1"/>
            </w14:solidFill>
          </w14:textFill>
        </w:rPr>
        <w:t>0</w:t>
      </w:r>
      <w:r>
        <w:rPr>
          <w:rFonts w:ascii="Times New Roman" w:hAnsi="Times New Roman" w:eastAsia="仿宋_GB2312"/>
          <w:color w:val="000000" w:themeColor="text1"/>
          <w:kern w:val="0"/>
          <w:sz w:val="32"/>
          <w:szCs w:val="32"/>
          <w:highlight w:val="none"/>
          <w:u w:val="none"/>
          <w14:textFill>
            <w14:solidFill>
              <w14:schemeClr w14:val="tx1"/>
            </w14:solidFill>
          </w14:textFill>
        </w:rPr>
        <w:t>辆，购置费</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u w:val="none"/>
          <w14:textFill>
            <w14:solidFill>
              <w14:schemeClr w14:val="tx1"/>
            </w14:solidFill>
          </w14:textFill>
        </w:rPr>
        <w:t>万元。</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kern w:val="0"/>
          <w:sz w:val="32"/>
          <w:szCs w:val="32"/>
          <w:highlight w:val="none"/>
          <w:u w:val="none"/>
          <w:lang w:eastAsia="zh-CN"/>
          <w14:textFill>
            <w14:solidFill>
              <w14:schemeClr w14:val="tx1"/>
            </w14:solidFill>
          </w14:textFill>
        </w:rPr>
        <w:t>2023年部门</w:t>
      </w:r>
      <w:r>
        <w:rPr>
          <w:rFonts w:ascii="Times New Roman" w:hAnsi="Times New Roman" w:eastAsia="仿宋_GB2312"/>
          <w:color w:val="000000" w:themeColor="text1"/>
          <w:kern w:val="0"/>
          <w:sz w:val="32"/>
          <w:szCs w:val="32"/>
          <w:highlight w:val="none"/>
          <w:u w:val="none"/>
          <w14:textFill>
            <w14:solidFill>
              <w14:schemeClr w14:val="tx1"/>
            </w14:solidFill>
          </w14:textFill>
        </w:rPr>
        <w:t>预算安排购置单位价值50万元以上的通用设备</w:t>
      </w:r>
      <w:r>
        <w:rPr>
          <w:rFonts w:hint="eastAsia" w:ascii="Times New Roman" w:hAnsi="Times New Roman" w:eastAsia="仿宋_GB2312"/>
          <w:color w:val="000000" w:themeColor="text1"/>
          <w:kern w:val="0"/>
          <w:sz w:val="32"/>
          <w:szCs w:val="32"/>
          <w:highlight w:val="none"/>
          <w:u w:val="none"/>
          <w:lang w:val="en-US" w:eastAsia="zh-CN"/>
          <w14:textFill>
            <w14:solidFill>
              <w14:schemeClr w14:val="tx1"/>
            </w14:solidFill>
          </w14:textFill>
        </w:rPr>
        <w:t>0</w:t>
      </w:r>
      <w:r>
        <w:rPr>
          <w:rFonts w:ascii="Times New Roman" w:hAnsi="Times New Roman" w:eastAsia="仿宋_GB2312"/>
          <w:color w:val="000000" w:themeColor="text1"/>
          <w:kern w:val="0"/>
          <w:sz w:val="32"/>
          <w:szCs w:val="32"/>
          <w:highlight w:val="none"/>
          <w:u w:val="none"/>
          <w14:textFill>
            <w14:solidFill>
              <w14:schemeClr w14:val="tx1"/>
            </w14:solidFill>
          </w14:textFill>
        </w:rPr>
        <w:t>台（套）</w:t>
      </w:r>
      <w:r>
        <w:rPr>
          <w:rFonts w:ascii="Times New Roman" w:hAnsi="Times New Roman" w:eastAsia="仿宋_GB2312"/>
          <w:color w:val="000000" w:themeColor="text1"/>
          <w:kern w:val="0"/>
          <w:sz w:val="32"/>
          <w:szCs w:val="32"/>
          <w:highlight w:val="none"/>
          <w14:textFill>
            <w14:solidFill>
              <w14:schemeClr w14:val="tx1"/>
            </w14:solidFill>
          </w14:textFill>
        </w:rPr>
        <w:t>，购置费</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万元；</w:t>
      </w:r>
      <w:r>
        <w:rPr>
          <w:rFonts w:ascii="Times New Roman" w:hAnsi="Times New Roman" w:eastAsia="仿宋_GB2312"/>
          <w:color w:val="000000" w:themeColor="text1"/>
          <w:kern w:val="0"/>
          <w:sz w:val="32"/>
          <w:szCs w:val="32"/>
          <w:highlight w:val="none"/>
          <w14:textFill>
            <w14:solidFill>
              <w14:schemeClr w14:val="tx1"/>
            </w14:solidFill>
          </w14:textFill>
        </w:rPr>
        <w:t>安排购置单位价值100万元以上专用设备</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kern w:val="0"/>
          <w:sz w:val="32"/>
          <w:szCs w:val="32"/>
          <w:highlight w:val="none"/>
          <w14:textFill>
            <w14:solidFill>
              <w14:schemeClr w14:val="tx1"/>
            </w14:solidFill>
          </w14:textFill>
        </w:rPr>
        <w:t>台（套），购置费</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万元。</w:t>
      </w:r>
    </w:p>
    <w:p>
      <w:pPr>
        <w:spacing w:line="560" w:lineRule="exact"/>
        <w:rPr>
          <w:rFonts w:ascii="Times New Roman" w:hAnsi="Times New Roman" w:eastAsia="楷体"/>
          <w:color w:val="FF0000"/>
          <w:kern w:val="0"/>
          <w:sz w:val="32"/>
          <w:szCs w:val="32"/>
          <w:highlight w:val="none"/>
        </w:rPr>
      </w:pPr>
    </w:p>
    <w:p>
      <w:pPr>
        <w:spacing w:line="560" w:lineRule="exact"/>
        <w:jc w:val="center"/>
        <w:rPr>
          <w:rFonts w:ascii="Times New Roman" w:hAnsi="Times New Roman" w:eastAsia="黑体"/>
          <w:color w:val="000000" w:themeColor="text1"/>
          <w:sz w:val="36"/>
          <w:szCs w:val="36"/>
          <w:highlight w:val="none"/>
          <w14:textFill>
            <w14:solidFill>
              <w14:schemeClr w14:val="tx1"/>
            </w14:solidFill>
          </w14:textFill>
        </w:rPr>
      </w:pPr>
    </w:p>
    <w:p>
      <w:pPr>
        <w:spacing w:line="560" w:lineRule="exact"/>
        <w:ind w:firstLine="640" w:firstLineChars="200"/>
        <w:rPr>
          <w:rFonts w:ascii="Times New Roman" w:hAnsi="Times New Roman" w:eastAsia="楷体"/>
          <w:color w:val="000000" w:themeColor="text1"/>
          <w:kern w:val="0"/>
          <w:sz w:val="32"/>
          <w:szCs w:val="32"/>
          <w:highlight w:val="none"/>
          <w14:textFill>
            <w14:solidFill>
              <w14:schemeClr w14:val="tx1"/>
            </w14:solidFill>
          </w14:textFill>
        </w:rPr>
      </w:pPr>
    </w:p>
    <w:p>
      <w:pPr>
        <w:spacing w:line="560" w:lineRule="exact"/>
        <w:jc w:val="center"/>
        <w:rPr>
          <w:rFonts w:ascii="Times New Roman" w:hAnsi="Times New Roman" w:eastAsia="黑体"/>
          <w:color w:val="000000" w:themeColor="text1"/>
          <w:sz w:val="36"/>
          <w:szCs w:val="36"/>
          <w:highlight w:val="none"/>
          <w14:textFill>
            <w14:solidFill>
              <w14:schemeClr w14:val="tx1"/>
            </w14:solidFill>
          </w14:textFill>
        </w:rPr>
      </w:pPr>
      <w:r>
        <w:rPr>
          <w:rFonts w:ascii="Times New Roman" w:hAnsi="Times New Roman" w:eastAsia="黑体"/>
          <w:color w:val="000000" w:themeColor="text1"/>
          <w:sz w:val="36"/>
          <w:szCs w:val="36"/>
          <w:highlight w:val="none"/>
          <w14:textFill>
            <w14:solidFill>
              <w14:schemeClr w14:val="tx1"/>
            </w14:solidFill>
          </w14:textFill>
        </w:rPr>
        <w:t>第</w:t>
      </w:r>
      <w:r>
        <w:rPr>
          <w:rFonts w:hint="eastAsia" w:ascii="Times New Roman" w:hAnsi="Times New Roman" w:eastAsia="黑体"/>
          <w:color w:val="000000" w:themeColor="text1"/>
          <w:sz w:val="36"/>
          <w:szCs w:val="36"/>
          <w:highlight w:val="none"/>
          <w:lang w:eastAsia="zh-CN"/>
          <w14:textFill>
            <w14:solidFill>
              <w14:schemeClr w14:val="tx1"/>
            </w14:solidFill>
          </w14:textFill>
        </w:rPr>
        <w:t>四</w:t>
      </w:r>
      <w:r>
        <w:rPr>
          <w:rFonts w:ascii="Times New Roman" w:hAnsi="Times New Roman" w:eastAsia="黑体"/>
          <w:color w:val="000000" w:themeColor="text1"/>
          <w:sz w:val="36"/>
          <w:szCs w:val="36"/>
          <w:highlight w:val="none"/>
          <w14:textFill>
            <w14:solidFill>
              <w14:schemeClr w14:val="tx1"/>
            </w14:solidFill>
          </w14:textFill>
        </w:rPr>
        <w:t>部分 名词解释</w:t>
      </w:r>
    </w:p>
    <w:p>
      <w:pPr>
        <w:adjustRightInd w:val="0"/>
        <w:snapToGrid w:val="0"/>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黑体"/>
          <w:color w:val="000000" w:themeColor="text1"/>
          <w:sz w:val="32"/>
          <w:szCs w:val="32"/>
          <w:highlight w:val="none"/>
          <w14:textFill>
            <w14:solidFill>
              <w14:schemeClr w14:val="tx1"/>
            </w14:solidFill>
          </w14:textFill>
        </w:rPr>
        <w:t>一、财政拨款收入</w:t>
      </w:r>
      <w:r>
        <w:rPr>
          <w:rFonts w:ascii="Times New Roman" w:hAnsi="Times New Roman" w:eastAsia="仿宋_GB2312"/>
          <w:b/>
          <w:color w:val="000000" w:themeColor="text1"/>
          <w:sz w:val="32"/>
          <w:szCs w:val="32"/>
          <w:highlight w:val="none"/>
          <w14:textFill>
            <w14:solidFill>
              <w14:schemeClr w14:val="tx1"/>
            </w14:solidFill>
          </w14:textFill>
        </w:rPr>
        <w:t>：</w:t>
      </w:r>
      <w:r>
        <w:rPr>
          <w:rFonts w:ascii="Times New Roman" w:hAnsi="Times New Roman" w:eastAsia="仿宋_GB2312"/>
          <w:color w:val="000000" w:themeColor="text1"/>
          <w:sz w:val="32"/>
          <w:szCs w:val="32"/>
          <w:highlight w:val="none"/>
          <w14:textFill>
            <w14:solidFill>
              <w14:schemeClr w14:val="tx1"/>
            </w14:solidFill>
          </w14:textFill>
        </w:rPr>
        <w:t>指市财政当年拨付的资金，主要包括一般公共预算拨款收入、政府性基金预算拨款收入、国有资本经营预算拨款收入。</w:t>
      </w:r>
    </w:p>
    <w:p>
      <w:pPr>
        <w:pStyle w:val="5"/>
        <w:widowControl w:val="0"/>
        <w:adjustRightInd w:val="0"/>
        <w:snapToGrid w:val="0"/>
        <w:spacing w:before="0" w:beforeAutospacing="0" w:after="0" w:afterAutospacing="0" w:line="560" w:lineRule="exact"/>
        <w:ind w:firstLine="627" w:firstLineChars="196"/>
        <w:rPr>
          <w:rFonts w:ascii="Times New Roman" w:hAnsi="Times New Roman" w:eastAsia="仿宋_GB2312" w:cs="Times New Roman"/>
          <w:color w:val="000000" w:themeColor="text1"/>
          <w:kern w:val="2"/>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二、</w:t>
      </w:r>
      <w:r>
        <w:rPr>
          <w:rFonts w:hint="eastAsia" w:ascii="Times New Roman" w:hAnsi="Times New Roman" w:eastAsia="黑体" w:cs="Times New Roman"/>
          <w:color w:val="000000" w:themeColor="text1"/>
          <w:sz w:val="32"/>
          <w:szCs w:val="32"/>
          <w:highlight w:val="none"/>
          <w:lang w:eastAsia="zh-CN"/>
          <w14:textFill>
            <w14:solidFill>
              <w14:schemeClr w14:val="tx1"/>
            </w14:solidFill>
          </w14:textFill>
        </w:rPr>
        <w:t>财政专户管理资金</w:t>
      </w:r>
      <w:r>
        <w:rPr>
          <w:rFonts w:ascii="Times New Roman" w:hAnsi="Times New Roman" w:eastAsia="黑体"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kern w:val="2"/>
          <w:sz w:val="32"/>
          <w:szCs w:val="32"/>
          <w:highlight w:val="none"/>
          <w14:textFill>
            <w14:solidFill>
              <w14:schemeClr w14:val="tx1"/>
            </w14:solidFill>
          </w14:textFill>
        </w:rPr>
        <w:t>指</w:t>
      </w:r>
      <w:r>
        <w:rPr>
          <w:rFonts w:hint="eastAsia" w:ascii="仿宋_GB2312" w:hAnsi="仿宋" w:eastAsia="仿宋_GB2312" w:cs="仿宋_GB2312"/>
          <w:sz w:val="32"/>
          <w:szCs w:val="32"/>
          <w:highlight w:val="none"/>
        </w:rPr>
        <w:t>缴入财政专户、实行专项管理的教育收费收入</w:t>
      </w:r>
      <w:r>
        <w:rPr>
          <w:rFonts w:ascii="Times New Roman" w:hAnsi="Times New Roman" w:eastAsia="仿宋_GB2312" w:cs="Times New Roman"/>
          <w:color w:val="000000" w:themeColor="text1"/>
          <w:kern w:val="2"/>
          <w:sz w:val="32"/>
          <w:szCs w:val="32"/>
          <w:highlight w:val="none"/>
          <w14:textFill>
            <w14:solidFill>
              <w14:schemeClr w14:val="tx1"/>
            </w14:solidFill>
          </w14:textFill>
        </w:rPr>
        <w:t>。</w:t>
      </w:r>
    </w:p>
    <w:p>
      <w:pPr>
        <w:pStyle w:val="5"/>
        <w:widowControl w:val="0"/>
        <w:adjustRightInd w:val="0"/>
        <w:snapToGrid w:val="0"/>
        <w:spacing w:before="0" w:beforeAutospacing="0" w:after="0" w:afterAutospacing="0" w:line="560" w:lineRule="exact"/>
        <w:ind w:firstLine="627" w:firstLineChars="196"/>
        <w:rPr>
          <w:rFonts w:ascii="Times New Roman" w:hAnsi="Times New Roman" w:eastAsia="仿宋_GB2312" w:cs="Times New Roman"/>
          <w:color w:val="000000" w:themeColor="text1"/>
          <w:kern w:val="2"/>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三、其他收入：</w:t>
      </w:r>
      <w:r>
        <w:rPr>
          <w:rFonts w:ascii="Times New Roman" w:hAnsi="Times New Roman" w:eastAsia="仿宋_GB2312" w:cs="Times New Roman"/>
          <w:color w:val="000000" w:themeColor="text1"/>
          <w:kern w:val="2"/>
          <w:sz w:val="32"/>
          <w:szCs w:val="32"/>
          <w:highlight w:val="none"/>
          <w14:textFill>
            <w14:solidFill>
              <w14:schemeClr w14:val="tx1"/>
            </w14:solidFill>
          </w14:textFill>
        </w:rPr>
        <w:t>指除了财政拨款收入、</w:t>
      </w:r>
      <w:r>
        <w:rPr>
          <w:rFonts w:hint="eastAsia" w:ascii="Times New Roman" w:hAnsi="Times New Roman" w:eastAsia="仿宋_GB2312" w:cs="Times New Roman"/>
          <w:color w:val="000000" w:themeColor="text1"/>
          <w:kern w:val="2"/>
          <w:sz w:val="32"/>
          <w:szCs w:val="32"/>
          <w:highlight w:val="none"/>
          <w:lang w:eastAsia="zh-CN"/>
          <w14:textFill>
            <w14:solidFill>
              <w14:schemeClr w14:val="tx1"/>
            </w14:solidFill>
          </w14:textFill>
        </w:rPr>
        <w:t>财政专户管理资金</w:t>
      </w:r>
      <w:r>
        <w:rPr>
          <w:rFonts w:ascii="Times New Roman" w:hAnsi="Times New Roman" w:eastAsia="仿宋_GB2312" w:cs="Times New Roman"/>
          <w:color w:val="000000" w:themeColor="text1"/>
          <w:kern w:val="2"/>
          <w:sz w:val="32"/>
          <w:szCs w:val="32"/>
          <w:highlight w:val="none"/>
          <w14:textFill>
            <w14:solidFill>
              <w14:schemeClr w14:val="tx1"/>
            </w14:solidFill>
          </w14:textFill>
        </w:rPr>
        <w:t>等以外的收入。</w:t>
      </w:r>
    </w:p>
    <w:p>
      <w:pPr>
        <w:pStyle w:val="5"/>
        <w:widowControl w:val="0"/>
        <w:adjustRightInd w:val="0"/>
        <w:snapToGrid w:val="0"/>
        <w:spacing w:before="0" w:beforeAutospacing="0" w:after="0" w:afterAutospacing="0" w:line="560" w:lineRule="exact"/>
        <w:ind w:firstLine="627" w:firstLineChars="196"/>
        <w:rPr>
          <w:rFonts w:hint="eastAsia" w:ascii="仿宋_GB2312" w:hAnsi="仿宋" w:eastAsia="仿宋_GB2312" w:cs="仿宋_GB2312"/>
          <w:sz w:val="32"/>
          <w:szCs w:val="32"/>
          <w:highlight w:val="none"/>
        </w:rPr>
      </w:pPr>
      <w:r>
        <w:rPr>
          <w:rFonts w:ascii="Times New Roman" w:hAnsi="Times New Roman" w:eastAsia="黑体" w:cs="Times New Roman"/>
          <w:color w:val="000000" w:themeColor="text1"/>
          <w:sz w:val="32"/>
          <w:szCs w:val="32"/>
          <w:highlight w:val="none"/>
          <w14:textFill>
            <w14:solidFill>
              <w14:schemeClr w14:val="tx1"/>
            </w14:solidFill>
          </w14:textFill>
        </w:rPr>
        <w:t>四、上年结转</w:t>
      </w:r>
      <w:r>
        <w:rPr>
          <w:rFonts w:hint="eastAsia" w:ascii="Times New Roman" w:hAnsi="Times New Roman" w:eastAsia="黑体" w:cs="Times New Roman"/>
          <w:color w:val="000000" w:themeColor="text1"/>
          <w:sz w:val="32"/>
          <w:szCs w:val="32"/>
          <w:highlight w:val="none"/>
          <w:lang w:eastAsia="zh-CN"/>
          <w14:textFill>
            <w14:solidFill>
              <w14:schemeClr w14:val="tx1"/>
            </w14:solidFill>
          </w14:textFill>
        </w:rPr>
        <w:t>结余资金</w:t>
      </w:r>
      <w:r>
        <w:rPr>
          <w:rFonts w:ascii="Times New Roman" w:hAnsi="Times New Roman" w:eastAsia="黑体"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kern w:val="2"/>
          <w:sz w:val="32"/>
          <w:szCs w:val="32"/>
          <w:highlight w:val="none"/>
          <w14:textFill>
            <w14:solidFill>
              <w14:schemeClr w14:val="tx1"/>
            </w14:solidFill>
          </w14:textFill>
        </w:rPr>
        <w:t>指</w:t>
      </w:r>
      <w:r>
        <w:rPr>
          <w:rFonts w:hint="eastAsia" w:ascii="仿宋_GB2312" w:hAnsi="仿宋" w:eastAsia="仿宋_GB2312" w:cs="仿宋_GB2312"/>
          <w:sz w:val="32"/>
          <w:szCs w:val="32"/>
          <w:highlight w:val="none"/>
        </w:rPr>
        <w:t>包括财政拨款结转、财政拨款结余、财政专户管理资金结转结余和单位资金结转结余</w:t>
      </w:r>
      <w:r>
        <w:rPr>
          <w:rFonts w:hint="eastAsia" w:ascii="仿宋_GB2312" w:hAnsi="仿宋" w:eastAsia="仿宋_GB2312" w:cs="仿宋_GB2312"/>
          <w:sz w:val="32"/>
          <w:szCs w:val="32"/>
          <w:highlight w:val="none"/>
          <w:lang w:eastAsia="zh-CN"/>
        </w:rPr>
        <w:t>的资金</w:t>
      </w:r>
      <w:r>
        <w:rPr>
          <w:rFonts w:hint="eastAsia" w:ascii="仿宋_GB2312" w:hAnsi="仿宋" w:eastAsia="仿宋_GB2312" w:cs="仿宋_GB2312"/>
          <w:sz w:val="32"/>
          <w:szCs w:val="32"/>
          <w:highlight w:val="none"/>
        </w:rPr>
        <w:t>。</w:t>
      </w:r>
    </w:p>
    <w:p>
      <w:pPr>
        <w:pStyle w:val="5"/>
        <w:widowControl w:val="0"/>
        <w:adjustRightInd w:val="0"/>
        <w:snapToGrid w:val="0"/>
        <w:spacing w:before="0" w:beforeAutospacing="0" w:after="0" w:afterAutospacing="0" w:line="560" w:lineRule="exact"/>
        <w:ind w:firstLine="627" w:firstLineChars="196"/>
        <w:rPr>
          <w:rFonts w:ascii="Times New Roman" w:hAnsi="Times New Roman" w:eastAsia="仿宋_GB2312" w:cs="Times New Roman"/>
          <w:color w:val="000000" w:themeColor="text1"/>
          <w:kern w:val="2"/>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五、结转下年：</w:t>
      </w:r>
      <w:r>
        <w:rPr>
          <w:rFonts w:ascii="Times New Roman" w:hAnsi="Times New Roman" w:eastAsia="仿宋_GB2312" w:cs="Times New Roman"/>
          <w:color w:val="000000" w:themeColor="text1"/>
          <w:kern w:val="2"/>
          <w:sz w:val="32"/>
          <w:szCs w:val="32"/>
          <w:highlight w:val="none"/>
          <w14:textFill>
            <w14:solidFill>
              <w14:schemeClr w14:val="tx1"/>
            </w14:solidFill>
          </w14:textFill>
        </w:rPr>
        <w:t>指以前年度预算安排、因客观条件发生变化无法按原计划实施，需以后年度按原用途继续使用的资金。</w:t>
      </w:r>
    </w:p>
    <w:p>
      <w:pPr>
        <w:pStyle w:val="5"/>
        <w:widowControl w:val="0"/>
        <w:adjustRightInd w:val="0"/>
        <w:snapToGrid w:val="0"/>
        <w:spacing w:before="0" w:beforeAutospacing="0" w:after="0" w:afterAutospacing="0" w:line="560" w:lineRule="exact"/>
        <w:ind w:firstLine="627" w:firstLineChars="196"/>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六、基本支出</w:t>
      </w:r>
      <w:r>
        <w:rPr>
          <w:rFonts w:ascii="Times New Roman" w:hAnsi="Times New Roman" w:eastAsia="仿宋_GB2312" w:cs="Times New Roman"/>
          <w:b/>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指为保障机构正常运转、完成日常工作任务而发生的人员支出和公用支出。</w:t>
      </w:r>
    </w:p>
    <w:p>
      <w:pPr>
        <w:pStyle w:val="5"/>
        <w:widowControl w:val="0"/>
        <w:spacing w:before="0" w:beforeAutospacing="0" w:after="0" w:afterAutospacing="0" w:line="560" w:lineRule="exact"/>
        <w:ind w:firstLine="627" w:firstLineChars="196"/>
        <w:jc w:val="both"/>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七、项目支出</w:t>
      </w:r>
      <w:r>
        <w:rPr>
          <w:rFonts w:ascii="Times New Roman" w:hAnsi="Times New Roman" w:eastAsia="仿宋_GB2312" w:cs="Times New Roman"/>
          <w:b/>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指在基本支出之外为完成特定行政任务和事业发展目标所发生的支出。</w:t>
      </w:r>
      <w:r>
        <w:rPr>
          <w:rFonts w:ascii="Times New Roman" w:hAnsi="Times New Roman" w:eastAsia="仿宋_GB2312" w:cs="Times New Roman"/>
          <w:color w:val="000000" w:themeColor="text1"/>
          <w:sz w:val="32"/>
          <w:szCs w:val="32"/>
          <w:highlight w:val="none"/>
          <w14:textFill>
            <w14:solidFill>
              <w14:schemeClr w14:val="tx1"/>
            </w14:solidFill>
          </w14:textFill>
        </w:rPr>
        <w:br w:type="textWrapping"/>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ascii="Times New Roman" w:hAnsi="Times New Roman" w:eastAsia="黑体"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黑体" w:cs="Times New Roman"/>
          <w:color w:val="000000" w:themeColor="text1"/>
          <w:sz w:val="32"/>
          <w:szCs w:val="32"/>
          <w:highlight w:val="none"/>
          <w14:textFill>
            <w14:solidFill>
              <w14:schemeClr w14:val="tx1"/>
            </w14:solidFill>
          </w14:textFill>
        </w:rPr>
        <w:t xml:space="preserve">  </w:t>
      </w:r>
      <w:r>
        <w:rPr>
          <w:rFonts w:ascii="Times New Roman" w:hAnsi="Times New Roman" w:eastAsia="黑体" w:cs="Times New Roman"/>
          <w:color w:val="000000" w:themeColor="text1"/>
          <w:sz w:val="32"/>
          <w:szCs w:val="32"/>
          <w:highlight w:val="none"/>
          <w14:textFill>
            <w14:solidFill>
              <w14:schemeClr w14:val="tx1"/>
            </w14:solidFill>
          </w14:textFill>
        </w:rPr>
        <w:t>八、“三公”经费：</w:t>
      </w:r>
      <w:r>
        <w:rPr>
          <w:rFonts w:ascii="Times New Roman" w:hAnsi="Times New Roman" w:eastAsia="仿宋_GB2312" w:cs="Times New Roman"/>
          <w:color w:val="000000" w:themeColor="text1"/>
          <w:sz w:val="32"/>
          <w:szCs w:val="32"/>
          <w:highlight w:val="none"/>
          <w14:textFill>
            <w14:solidFill>
              <w14:schemeClr w14:val="tx1"/>
            </w14:solidFill>
          </w14:textFill>
        </w:rPr>
        <w:t>纳入财政预决算管理的“三公”经费，是指单位用</w:t>
      </w:r>
      <w:r>
        <w:rPr>
          <w:rFonts w:hint="eastAsia" w:ascii="仿宋_GB2312" w:hAnsi="黑体" w:eastAsia="仿宋_GB2312"/>
          <w:color w:val="000000" w:themeColor="text1"/>
          <w:sz w:val="32"/>
          <w:szCs w:val="32"/>
          <w:highlight w:val="none"/>
          <w14:textFill>
            <w14:solidFill>
              <w14:schemeClr w14:val="tx1"/>
            </w14:solidFill>
          </w14:textFill>
        </w:rPr>
        <w:t>一般公共预算</w:t>
      </w:r>
      <w:r>
        <w:rPr>
          <w:rFonts w:ascii="Times New Roman" w:hAnsi="Times New Roman" w:eastAsia="仿宋_GB2312" w:cs="Times New Roman"/>
          <w:color w:val="000000" w:themeColor="text1"/>
          <w:sz w:val="32"/>
          <w:szCs w:val="32"/>
          <w:highlight w:val="none"/>
          <w14:textFill>
            <w14:solidFill>
              <w14:schemeClr w14:val="tx1"/>
            </w14:solidFill>
          </w14:textFill>
        </w:rPr>
        <w:t>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pPr>
        <w:pStyle w:val="5"/>
        <w:widowControl w:val="0"/>
        <w:spacing w:before="0" w:beforeAutospacing="0" w:after="0" w:afterAutospacing="0" w:line="560" w:lineRule="exact"/>
        <w:ind w:firstLine="627" w:firstLineChars="196"/>
        <w:jc w:val="both"/>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九、机关运行经费</w:t>
      </w:r>
      <w:r>
        <w:rPr>
          <w:rFonts w:ascii="Times New Roman" w:hAnsi="Times New Roman" w:eastAsia="仿宋_GB2312" w:cs="Times New Roman"/>
          <w:color w:val="000000" w:themeColor="text1"/>
          <w:sz w:val="32"/>
          <w:szCs w:val="32"/>
          <w:highlight w:val="none"/>
          <w14:textFill>
            <w14:solidFill>
              <w14:schemeClr w14:val="tx1"/>
            </w14:solidFill>
          </w14:textFill>
        </w:rPr>
        <w:t>：指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等。</w:t>
      </w:r>
    </w:p>
    <w:p>
      <w:pPr>
        <w:pStyle w:val="5"/>
        <w:widowControl w:val="0"/>
        <w:spacing w:before="0" w:beforeAutospacing="0" w:after="0" w:afterAutospacing="0" w:line="560" w:lineRule="exact"/>
        <w:ind w:firstLine="627" w:firstLineChars="196"/>
        <w:jc w:val="both"/>
        <w:rPr>
          <w:rFonts w:ascii="Times New Roman" w:hAnsi="Times New Roman" w:eastAsia="仿宋_GB2312" w:cs="Times New Roman"/>
          <w:color w:val="000000" w:themeColor="text1"/>
          <w:sz w:val="32"/>
          <w:szCs w:val="32"/>
          <w:highlight w:val="none"/>
          <w14:textFill>
            <w14:solidFill>
              <w14:schemeClr w14:val="tx1"/>
            </w14:solidFill>
          </w14:textFill>
        </w:rPr>
      </w:pPr>
    </w:p>
    <w:p>
      <w:pPr>
        <w:spacing w:line="560" w:lineRule="exact"/>
        <w:ind w:firstLine="640" w:firstLineChars="200"/>
        <w:rPr>
          <w:rFonts w:ascii="Times New Roman" w:hAnsi="Times New Roman" w:eastAsia="楷体"/>
          <w:color w:val="000000" w:themeColor="text1"/>
          <w:sz w:val="32"/>
          <w:szCs w:val="32"/>
          <w:highlight w:val="none"/>
          <w14:textFill>
            <w14:solidFill>
              <w14:schemeClr w14:val="tx1"/>
            </w14:solidFill>
          </w14:textFill>
        </w:rPr>
      </w:pPr>
      <w:r>
        <w:rPr>
          <w:rFonts w:ascii="Times New Roman" w:hAnsi="Times New Roman" w:eastAsia="黑体"/>
          <w:color w:val="000000" w:themeColor="text1"/>
          <w:sz w:val="32"/>
          <w:szCs w:val="32"/>
          <w:highlight w:val="none"/>
          <w14:textFill>
            <w14:solidFill>
              <w14:schemeClr w14:val="tx1"/>
            </w14:solidFill>
          </w14:textFill>
        </w:rPr>
        <w:t>附表：</w:t>
      </w:r>
      <w:r>
        <w:rPr>
          <w:rFonts w:hint="eastAsia" w:ascii="Times New Roman" w:hAnsi="Times New Roman" w:eastAsia="仿宋_GB2312"/>
          <w:color w:val="000000" w:themeColor="text1"/>
          <w:sz w:val="32"/>
          <w:szCs w:val="32"/>
          <w:highlight w:val="none"/>
          <w:u w:val="single"/>
          <w:lang w:eastAsia="zh-CN"/>
          <w14:textFill>
            <w14:solidFill>
              <w14:schemeClr w14:val="tx1"/>
            </w14:solidFill>
          </w14:textFill>
        </w:rPr>
        <w:t>六安市</w:t>
      </w:r>
      <w:r>
        <w:rPr>
          <w:rFonts w:ascii="Times New Roman" w:hAnsi="Times New Roman" w:eastAsia="仿宋_GB2312"/>
          <w:color w:val="000000" w:themeColor="text1"/>
          <w:sz w:val="32"/>
          <w:szCs w:val="32"/>
          <w:highlight w:val="none"/>
          <w:u w:val="single"/>
          <w:lang w:val="en"/>
          <w14:textFill>
            <w14:solidFill>
              <w14:schemeClr w14:val="tx1"/>
            </w14:solidFill>
          </w14:textFill>
        </w:rPr>
        <w:t>重点工程建设管理处</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预算报表</w:t>
      </w: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4</w:t>
      </w:r>
      <w:r>
        <w:rPr>
          <w:rFonts w:ascii="Times New Roman" w:hAnsi="Times New Roman" w:eastAsia="仿宋_GB2312"/>
          <w:color w:val="000000" w:themeColor="text1"/>
          <w:sz w:val="32"/>
          <w:szCs w:val="32"/>
          <w:highlight w:val="none"/>
          <w14:textFill>
            <w14:solidFill>
              <w14:schemeClr w14:val="tx1"/>
            </w14:solidFill>
          </w14:textFill>
        </w:rPr>
        <w:t>张）</w:t>
      </w:r>
    </w:p>
    <w:p>
      <w:pPr>
        <w:spacing w:line="560" w:lineRule="exact"/>
        <w:ind w:firstLine="640" w:firstLineChars="200"/>
        <w:jc w:val="left"/>
        <w:rPr>
          <w:rFonts w:ascii="Times New Roman" w:hAnsi="Times New Roman" w:eastAsia="楷体"/>
          <w:color w:val="000000" w:themeColor="text1"/>
          <w:sz w:val="32"/>
          <w:szCs w:val="32"/>
          <w:highlight w:val="none"/>
          <w14:textFill>
            <w14:solidFill>
              <w14:schemeClr w14:val="tx1"/>
            </w14:solidFill>
          </w14:textFill>
        </w:rPr>
      </w:pPr>
    </w:p>
    <w:p>
      <w:pPr>
        <w:spacing w:line="600" w:lineRule="exact"/>
        <w:rPr>
          <w:rFonts w:ascii="Times New Roman" w:hAnsi="Times New Roman" w:eastAsia="黑体"/>
          <w:color w:val="000000" w:themeColor="text1"/>
          <w:sz w:val="32"/>
          <w:szCs w:val="32"/>
          <w:highlight w:val="none"/>
          <w14:textFill>
            <w14:solidFill>
              <w14:schemeClr w14:val="tx1"/>
            </w14:solidFill>
          </w14:textFill>
        </w:rPr>
      </w:pPr>
    </w:p>
    <w:sectPr>
      <w:footerReference r:id="rId5" w:type="first"/>
      <w:footerReference r:id="rId3" w:type="default"/>
      <w:footerReference r:id="rId4"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隶书">
    <w:altName w:val="宋体"/>
    <w:panose1 w:val="0201050906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5497976"/>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19 -</w:t>
        </w:r>
        <w:r>
          <w:rPr>
            <w:rFonts w:asciiTheme="minorEastAsia" w:hAnsiTheme="minorEastAsia" w:eastAsia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3319664"/>
    </w:sdtPr>
    <w:sdtContent>
      <w:p>
        <w:pPr>
          <w:pStyle w:val="3"/>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18 -</w:t>
        </w:r>
        <w:r>
          <w:rPr>
            <w:rFonts w:asciiTheme="minorEastAsia" w:hAnsiTheme="minorEastAsia" w:eastAsiaTheme="minorEastAsia"/>
            <w:sz w:val="28"/>
            <w:szCs w:val="28"/>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3743853"/>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45B73"/>
    <w:multiLevelType w:val="singleLevel"/>
    <w:tmpl w:val="BFF45B73"/>
    <w:lvl w:ilvl="0" w:tentative="0">
      <w:start w:val="10"/>
      <w:numFmt w:val="chineseCounting"/>
      <w:suff w:val="nothing"/>
      <w:lvlText w:val="%1、"/>
      <w:lvlJc w:val="left"/>
      <w:rPr>
        <w:rFonts w:hint="eastAsia"/>
      </w:rPr>
    </w:lvl>
  </w:abstractNum>
  <w:abstractNum w:abstractNumId="1">
    <w:nsid w:val="CCFE518A"/>
    <w:multiLevelType w:val="singleLevel"/>
    <w:tmpl w:val="CCFE518A"/>
    <w:lvl w:ilvl="0" w:tentative="0">
      <w:start w:val="2"/>
      <w:numFmt w:val="decimal"/>
      <w:lvlText w:val="%1."/>
      <w:lvlJc w:val="left"/>
      <w:pPr>
        <w:tabs>
          <w:tab w:val="left" w:pos="312"/>
        </w:tabs>
      </w:pPr>
    </w:lvl>
  </w:abstractNum>
  <w:abstractNum w:abstractNumId="2">
    <w:nsid w:val="48F96C3E"/>
    <w:multiLevelType w:val="singleLevel"/>
    <w:tmpl w:val="48F96C3E"/>
    <w:lvl w:ilvl="0" w:tentative="0">
      <w:start w:val="3"/>
      <w:numFmt w:val="chineseCounting"/>
      <w:suff w:val="space"/>
      <w:lvlText w:val="第%1部分"/>
      <w:lvlJc w:val="left"/>
      <w:rPr>
        <w:rFonts w:hint="eastAsia"/>
      </w:rPr>
    </w:lvl>
  </w:abstractNum>
  <w:abstractNum w:abstractNumId="3">
    <w:nsid w:val="6CE2505F"/>
    <w:multiLevelType w:val="singleLevel"/>
    <w:tmpl w:val="6CE2505F"/>
    <w:lvl w:ilvl="0" w:tentative="0">
      <w:start w:val="13"/>
      <w:numFmt w:val="chineseCounting"/>
      <w:suff w:val="nothing"/>
      <w:lvlText w:val="%1、"/>
      <w:lvlJc w:val="left"/>
      <w:rPr>
        <w:rFonts w:hint="eastAsia"/>
      </w:rPr>
    </w:lvl>
  </w:abstractNum>
  <w:abstractNum w:abstractNumId="4">
    <w:nsid w:val="75FC7326"/>
    <w:multiLevelType w:val="singleLevel"/>
    <w:tmpl w:val="75FC7326"/>
    <w:lvl w:ilvl="0" w:tentative="0">
      <w:start w:val="1"/>
      <w:numFmt w:val="chineseCounting"/>
      <w:suff w:val="space"/>
      <w:lvlText w:val="第%1部分"/>
      <w:lvlJc w:val="left"/>
      <w:rPr>
        <w:rFonts w:hint="eastAsia"/>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4C"/>
    <w:rsid w:val="00000551"/>
    <w:rsid w:val="00001B94"/>
    <w:rsid w:val="0000535D"/>
    <w:rsid w:val="00007343"/>
    <w:rsid w:val="00010179"/>
    <w:rsid w:val="00011AD2"/>
    <w:rsid w:val="00021FA6"/>
    <w:rsid w:val="000236AD"/>
    <w:rsid w:val="0002492E"/>
    <w:rsid w:val="00025077"/>
    <w:rsid w:val="000275B2"/>
    <w:rsid w:val="00027CCA"/>
    <w:rsid w:val="00030CBF"/>
    <w:rsid w:val="000336CA"/>
    <w:rsid w:val="00037A70"/>
    <w:rsid w:val="000417D9"/>
    <w:rsid w:val="00043BC6"/>
    <w:rsid w:val="00044146"/>
    <w:rsid w:val="00044173"/>
    <w:rsid w:val="000442BB"/>
    <w:rsid w:val="0004465A"/>
    <w:rsid w:val="0005187A"/>
    <w:rsid w:val="000519FA"/>
    <w:rsid w:val="0005484A"/>
    <w:rsid w:val="00056291"/>
    <w:rsid w:val="00061583"/>
    <w:rsid w:val="0006321A"/>
    <w:rsid w:val="00063F13"/>
    <w:rsid w:val="00065B2F"/>
    <w:rsid w:val="00067122"/>
    <w:rsid w:val="00072ACA"/>
    <w:rsid w:val="00073750"/>
    <w:rsid w:val="00073872"/>
    <w:rsid w:val="00074140"/>
    <w:rsid w:val="00076587"/>
    <w:rsid w:val="00076A5B"/>
    <w:rsid w:val="00080D7C"/>
    <w:rsid w:val="00081FDA"/>
    <w:rsid w:val="00082CF3"/>
    <w:rsid w:val="00084A86"/>
    <w:rsid w:val="00085FBE"/>
    <w:rsid w:val="000874BC"/>
    <w:rsid w:val="00087697"/>
    <w:rsid w:val="00090371"/>
    <w:rsid w:val="0009079C"/>
    <w:rsid w:val="000917D4"/>
    <w:rsid w:val="000922B4"/>
    <w:rsid w:val="000923D0"/>
    <w:rsid w:val="000925A3"/>
    <w:rsid w:val="00092ACA"/>
    <w:rsid w:val="000952A0"/>
    <w:rsid w:val="00095CD5"/>
    <w:rsid w:val="00097E9C"/>
    <w:rsid w:val="000A140F"/>
    <w:rsid w:val="000A376D"/>
    <w:rsid w:val="000A3A07"/>
    <w:rsid w:val="000A5401"/>
    <w:rsid w:val="000A69A4"/>
    <w:rsid w:val="000A78A4"/>
    <w:rsid w:val="000B1CEF"/>
    <w:rsid w:val="000B1F1B"/>
    <w:rsid w:val="000B310D"/>
    <w:rsid w:val="000B3B4D"/>
    <w:rsid w:val="000B57CE"/>
    <w:rsid w:val="000B75CC"/>
    <w:rsid w:val="000B7CEB"/>
    <w:rsid w:val="000C0866"/>
    <w:rsid w:val="000C2B2C"/>
    <w:rsid w:val="000C2B3D"/>
    <w:rsid w:val="000C313C"/>
    <w:rsid w:val="000C3D33"/>
    <w:rsid w:val="000C3FE1"/>
    <w:rsid w:val="000C5319"/>
    <w:rsid w:val="000C60D4"/>
    <w:rsid w:val="000D0AD5"/>
    <w:rsid w:val="000D12E9"/>
    <w:rsid w:val="000D17B5"/>
    <w:rsid w:val="000D213E"/>
    <w:rsid w:val="000D2E66"/>
    <w:rsid w:val="000D3B7D"/>
    <w:rsid w:val="000D3C09"/>
    <w:rsid w:val="000D4289"/>
    <w:rsid w:val="000D509C"/>
    <w:rsid w:val="000D5766"/>
    <w:rsid w:val="000E05E9"/>
    <w:rsid w:val="000E203A"/>
    <w:rsid w:val="000E2A17"/>
    <w:rsid w:val="000E592F"/>
    <w:rsid w:val="000F0A8D"/>
    <w:rsid w:val="000F3AE4"/>
    <w:rsid w:val="000F3C4D"/>
    <w:rsid w:val="000F3DB3"/>
    <w:rsid w:val="000F41B6"/>
    <w:rsid w:val="000F71EA"/>
    <w:rsid w:val="00102140"/>
    <w:rsid w:val="00102422"/>
    <w:rsid w:val="00102AFA"/>
    <w:rsid w:val="001042A3"/>
    <w:rsid w:val="00104A57"/>
    <w:rsid w:val="00104DB6"/>
    <w:rsid w:val="00105BE8"/>
    <w:rsid w:val="001112F4"/>
    <w:rsid w:val="00112879"/>
    <w:rsid w:val="00112D89"/>
    <w:rsid w:val="001137AF"/>
    <w:rsid w:val="00114D2C"/>
    <w:rsid w:val="001155D8"/>
    <w:rsid w:val="001221E4"/>
    <w:rsid w:val="001223FF"/>
    <w:rsid w:val="00123B1C"/>
    <w:rsid w:val="001243BE"/>
    <w:rsid w:val="00125468"/>
    <w:rsid w:val="00125B29"/>
    <w:rsid w:val="00126856"/>
    <w:rsid w:val="00130CD7"/>
    <w:rsid w:val="00131805"/>
    <w:rsid w:val="00132BF1"/>
    <w:rsid w:val="0013429F"/>
    <w:rsid w:val="00134B96"/>
    <w:rsid w:val="00137B00"/>
    <w:rsid w:val="00140C87"/>
    <w:rsid w:val="00142525"/>
    <w:rsid w:val="001427FD"/>
    <w:rsid w:val="001438F4"/>
    <w:rsid w:val="001458DF"/>
    <w:rsid w:val="00146D59"/>
    <w:rsid w:val="00147167"/>
    <w:rsid w:val="00147E08"/>
    <w:rsid w:val="00147FA4"/>
    <w:rsid w:val="00151AF6"/>
    <w:rsid w:val="00151B71"/>
    <w:rsid w:val="00153E3F"/>
    <w:rsid w:val="00154CC3"/>
    <w:rsid w:val="00155D64"/>
    <w:rsid w:val="001619E7"/>
    <w:rsid w:val="00162A76"/>
    <w:rsid w:val="0016317C"/>
    <w:rsid w:val="001641B7"/>
    <w:rsid w:val="00166712"/>
    <w:rsid w:val="001667A9"/>
    <w:rsid w:val="0016765C"/>
    <w:rsid w:val="00170F5B"/>
    <w:rsid w:val="00172BC7"/>
    <w:rsid w:val="00173E8A"/>
    <w:rsid w:val="00176168"/>
    <w:rsid w:val="00176875"/>
    <w:rsid w:val="00176EAA"/>
    <w:rsid w:val="00182678"/>
    <w:rsid w:val="001861FC"/>
    <w:rsid w:val="00190DDC"/>
    <w:rsid w:val="00191232"/>
    <w:rsid w:val="001919D8"/>
    <w:rsid w:val="00192CBE"/>
    <w:rsid w:val="00192E0D"/>
    <w:rsid w:val="00194ED1"/>
    <w:rsid w:val="001969CA"/>
    <w:rsid w:val="00197A0A"/>
    <w:rsid w:val="001A0300"/>
    <w:rsid w:val="001A069F"/>
    <w:rsid w:val="001A3E28"/>
    <w:rsid w:val="001A4329"/>
    <w:rsid w:val="001A5951"/>
    <w:rsid w:val="001A692F"/>
    <w:rsid w:val="001B12FC"/>
    <w:rsid w:val="001B173D"/>
    <w:rsid w:val="001B3112"/>
    <w:rsid w:val="001B353B"/>
    <w:rsid w:val="001B4580"/>
    <w:rsid w:val="001B4746"/>
    <w:rsid w:val="001B6666"/>
    <w:rsid w:val="001B6B73"/>
    <w:rsid w:val="001B7723"/>
    <w:rsid w:val="001C0C12"/>
    <w:rsid w:val="001C0CF1"/>
    <w:rsid w:val="001C0F06"/>
    <w:rsid w:val="001C35B2"/>
    <w:rsid w:val="001C43C8"/>
    <w:rsid w:val="001C5A4A"/>
    <w:rsid w:val="001C679D"/>
    <w:rsid w:val="001C73A2"/>
    <w:rsid w:val="001D15D8"/>
    <w:rsid w:val="001D1989"/>
    <w:rsid w:val="001D3F6F"/>
    <w:rsid w:val="001D515D"/>
    <w:rsid w:val="001D52C0"/>
    <w:rsid w:val="001D646F"/>
    <w:rsid w:val="001D7568"/>
    <w:rsid w:val="001D7EFB"/>
    <w:rsid w:val="001E152F"/>
    <w:rsid w:val="001E74D0"/>
    <w:rsid w:val="001E7983"/>
    <w:rsid w:val="001F21F2"/>
    <w:rsid w:val="001F4DE2"/>
    <w:rsid w:val="001F54D3"/>
    <w:rsid w:val="001F7A88"/>
    <w:rsid w:val="001F7C48"/>
    <w:rsid w:val="0020004C"/>
    <w:rsid w:val="00201187"/>
    <w:rsid w:val="00203884"/>
    <w:rsid w:val="002056C3"/>
    <w:rsid w:val="00206F1B"/>
    <w:rsid w:val="00207714"/>
    <w:rsid w:val="002113D3"/>
    <w:rsid w:val="00212F3D"/>
    <w:rsid w:val="0021417F"/>
    <w:rsid w:val="00214208"/>
    <w:rsid w:val="002153CB"/>
    <w:rsid w:val="00216994"/>
    <w:rsid w:val="00216B63"/>
    <w:rsid w:val="002201D8"/>
    <w:rsid w:val="00220E02"/>
    <w:rsid w:val="002219D1"/>
    <w:rsid w:val="00223791"/>
    <w:rsid w:val="00224107"/>
    <w:rsid w:val="00226CB9"/>
    <w:rsid w:val="002311D6"/>
    <w:rsid w:val="0023652F"/>
    <w:rsid w:val="00242688"/>
    <w:rsid w:val="00242C43"/>
    <w:rsid w:val="00242DF2"/>
    <w:rsid w:val="002430DA"/>
    <w:rsid w:val="00243E90"/>
    <w:rsid w:val="00245535"/>
    <w:rsid w:val="0024617D"/>
    <w:rsid w:val="0024619D"/>
    <w:rsid w:val="00246EBE"/>
    <w:rsid w:val="00247F3D"/>
    <w:rsid w:val="00250317"/>
    <w:rsid w:val="00251133"/>
    <w:rsid w:val="00251E0F"/>
    <w:rsid w:val="00251FC8"/>
    <w:rsid w:val="002520A9"/>
    <w:rsid w:val="0025270F"/>
    <w:rsid w:val="00252BED"/>
    <w:rsid w:val="00253508"/>
    <w:rsid w:val="00253522"/>
    <w:rsid w:val="00254ECC"/>
    <w:rsid w:val="002573A0"/>
    <w:rsid w:val="0026178F"/>
    <w:rsid w:val="0026313D"/>
    <w:rsid w:val="00263939"/>
    <w:rsid w:val="00263F02"/>
    <w:rsid w:val="00265972"/>
    <w:rsid w:val="00267A3D"/>
    <w:rsid w:val="00267FE0"/>
    <w:rsid w:val="002705D9"/>
    <w:rsid w:val="0027484D"/>
    <w:rsid w:val="00274CA5"/>
    <w:rsid w:val="00275BEF"/>
    <w:rsid w:val="00275D48"/>
    <w:rsid w:val="00276556"/>
    <w:rsid w:val="00281FC9"/>
    <w:rsid w:val="002822EB"/>
    <w:rsid w:val="0028258A"/>
    <w:rsid w:val="00282C62"/>
    <w:rsid w:val="00284080"/>
    <w:rsid w:val="00285047"/>
    <w:rsid w:val="00286406"/>
    <w:rsid w:val="00286797"/>
    <w:rsid w:val="002879D7"/>
    <w:rsid w:val="00290C58"/>
    <w:rsid w:val="00291C01"/>
    <w:rsid w:val="00291D54"/>
    <w:rsid w:val="00293670"/>
    <w:rsid w:val="002952C6"/>
    <w:rsid w:val="00295FDA"/>
    <w:rsid w:val="002978C5"/>
    <w:rsid w:val="002A02BB"/>
    <w:rsid w:val="002A4301"/>
    <w:rsid w:val="002A44CF"/>
    <w:rsid w:val="002A4AFD"/>
    <w:rsid w:val="002A6015"/>
    <w:rsid w:val="002A66EB"/>
    <w:rsid w:val="002B2337"/>
    <w:rsid w:val="002B3929"/>
    <w:rsid w:val="002B462F"/>
    <w:rsid w:val="002B4F1A"/>
    <w:rsid w:val="002B6B7E"/>
    <w:rsid w:val="002C0026"/>
    <w:rsid w:val="002C06F9"/>
    <w:rsid w:val="002C14E7"/>
    <w:rsid w:val="002C2437"/>
    <w:rsid w:val="002C420B"/>
    <w:rsid w:val="002C4A23"/>
    <w:rsid w:val="002C6A15"/>
    <w:rsid w:val="002D6745"/>
    <w:rsid w:val="002D760E"/>
    <w:rsid w:val="002E0017"/>
    <w:rsid w:val="002E0689"/>
    <w:rsid w:val="002E1BBA"/>
    <w:rsid w:val="002E3166"/>
    <w:rsid w:val="002E5835"/>
    <w:rsid w:val="002E5848"/>
    <w:rsid w:val="002E5E4E"/>
    <w:rsid w:val="002E6ADF"/>
    <w:rsid w:val="002E753C"/>
    <w:rsid w:val="002F06B6"/>
    <w:rsid w:val="002F1174"/>
    <w:rsid w:val="002F2A60"/>
    <w:rsid w:val="002F6324"/>
    <w:rsid w:val="00303B16"/>
    <w:rsid w:val="00304CA1"/>
    <w:rsid w:val="00305473"/>
    <w:rsid w:val="00305977"/>
    <w:rsid w:val="00306232"/>
    <w:rsid w:val="00306881"/>
    <w:rsid w:val="00307FB8"/>
    <w:rsid w:val="00311FE9"/>
    <w:rsid w:val="00312633"/>
    <w:rsid w:val="00315400"/>
    <w:rsid w:val="00315C4D"/>
    <w:rsid w:val="00316D7F"/>
    <w:rsid w:val="003207C7"/>
    <w:rsid w:val="003222AF"/>
    <w:rsid w:val="00322D12"/>
    <w:rsid w:val="00324244"/>
    <w:rsid w:val="00333A64"/>
    <w:rsid w:val="003352FE"/>
    <w:rsid w:val="00335B1E"/>
    <w:rsid w:val="003445F4"/>
    <w:rsid w:val="003446EF"/>
    <w:rsid w:val="003454CE"/>
    <w:rsid w:val="00345E88"/>
    <w:rsid w:val="003464B4"/>
    <w:rsid w:val="00347E2E"/>
    <w:rsid w:val="0035100C"/>
    <w:rsid w:val="003516D4"/>
    <w:rsid w:val="00351B21"/>
    <w:rsid w:val="00354026"/>
    <w:rsid w:val="003541D5"/>
    <w:rsid w:val="00354306"/>
    <w:rsid w:val="00354371"/>
    <w:rsid w:val="0035478E"/>
    <w:rsid w:val="0035744F"/>
    <w:rsid w:val="0036119D"/>
    <w:rsid w:val="003613FF"/>
    <w:rsid w:val="00361DD0"/>
    <w:rsid w:val="00363DE8"/>
    <w:rsid w:val="003655CE"/>
    <w:rsid w:val="003675D2"/>
    <w:rsid w:val="003704F8"/>
    <w:rsid w:val="00370AE8"/>
    <w:rsid w:val="00372A5C"/>
    <w:rsid w:val="00372A9D"/>
    <w:rsid w:val="00372EF5"/>
    <w:rsid w:val="00373E72"/>
    <w:rsid w:val="00375E4B"/>
    <w:rsid w:val="00375EC8"/>
    <w:rsid w:val="00376114"/>
    <w:rsid w:val="003769A8"/>
    <w:rsid w:val="00376D7F"/>
    <w:rsid w:val="00376FF1"/>
    <w:rsid w:val="00377232"/>
    <w:rsid w:val="0037737B"/>
    <w:rsid w:val="003808CD"/>
    <w:rsid w:val="003903A9"/>
    <w:rsid w:val="00390D65"/>
    <w:rsid w:val="00391EA4"/>
    <w:rsid w:val="00393EAC"/>
    <w:rsid w:val="0039523D"/>
    <w:rsid w:val="00397356"/>
    <w:rsid w:val="003974EA"/>
    <w:rsid w:val="003A01AF"/>
    <w:rsid w:val="003A7E42"/>
    <w:rsid w:val="003B08D3"/>
    <w:rsid w:val="003B4530"/>
    <w:rsid w:val="003B4DB3"/>
    <w:rsid w:val="003B6188"/>
    <w:rsid w:val="003B6798"/>
    <w:rsid w:val="003B6938"/>
    <w:rsid w:val="003C0924"/>
    <w:rsid w:val="003C25D4"/>
    <w:rsid w:val="003C35C1"/>
    <w:rsid w:val="003C3A7F"/>
    <w:rsid w:val="003C5776"/>
    <w:rsid w:val="003C7A6E"/>
    <w:rsid w:val="003D4A45"/>
    <w:rsid w:val="003D7D50"/>
    <w:rsid w:val="003E2A8A"/>
    <w:rsid w:val="003E2E7E"/>
    <w:rsid w:val="003E479C"/>
    <w:rsid w:val="003E50F8"/>
    <w:rsid w:val="003E5690"/>
    <w:rsid w:val="003F05CE"/>
    <w:rsid w:val="003F1938"/>
    <w:rsid w:val="003F1B98"/>
    <w:rsid w:val="003F1ED8"/>
    <w:rsid w:val="003F286E"/>
    <w:rsid w:val="003F4F7D"/>
    <w:rsid w:val="0040091C"/>
    <w:rsid w:val="004011F0"/>
    <w:rsid w:val="004042BE"/>
    <w:rsid w:val="00405B97"/>
    <w:rsid w:val="00406796"/>
    <w:rsid w:val="00406E4C"/>
    <w:rsid w:val="00407111"/>
    <w:rsid w:val="004130C1"/>
    <w:rsid w:val="0041356B"/>
    <w:rsid w:val="0041566F"/>
    <w:rsid w:val="00415705"/>
    <w:rsid w:val="00416199"/>
    <w:rsid w:val="0041659D"/>
    <w:rsid w:val="00417BB3"/>
    <w:rsid w:val="0042015B"/>
    <w:rsid w:val="0042139E"/>
    <w:rsid w:val="004220BF"/>
    <w:rsid w:val="00422418"/>
    <w:rsid w:val="00425D62"/>
    <w:rsid w:val="004262E3"/>
    <w:rsid w:val="00430BDF"/>
    <w:rsid w:val="00431375"/>
    <w:rsid w:val="0043398C"/>
    <w:rsid w:val="004339B6"/>
    <w:rsid w:val="00434B8E"/>
    <w:rsid w:val="00435C68"/>
    <w:rsid w:val="00440C36"/>
    <w:rsid w:val="00444670"/>
    <w:rsid w:val="00444EAB"/>
    <w:rsid w:val="00445341"/>
    <w:rsid w:val="00447ADE"/>
    <w:rsid w:val="00447F38"/>
    <w:rsid w:val="00455590"/>
    <w:rsid w:val="00456214"/>
    <w:rsid w:val="00456AC7"/>
    <w:rsid w:val="00456C6C"/>
    <w:rsid w:val="00457114"/>
    <w:rsid w:val="0046048F"/>
    <w:rsid w:val="004627ED"/>
    <w:rsid w:val="00462AAD"/>
    <w:rsid w:val="00464869"/>
    <w:rsid w:val="0046677D"/>
    <w:rsid w:val="00475B93"/>
    <w:rsid w:val="00480626"/>
    <w:rsid w:val="0048200B"/>
    <w:rsid w:val="00483F89"/>
    <w:rsid w:val="00486A1E"/>
    <w:rsid w:val="00487E71"/>
    <w:rsid w:val="00495005"/>
    <w:rsid w:val="0049629B"/>
    <w:rsid w:val="00497A33"/>
    <w:rsid w:val="004A0AAE"/>
    <w:rsid w:val="004A1C9E"/>
    <w:rsid w:val="004A2858"/>
    <w:rsid w:val="004A3394"/>
    <w:rsid w:val="004A567A"/>
    <w:rsid w:val="004A5758"/>
    <w:rsid w:val="004A6B26"/>
    <w:rsid w:val="004A75AC"/>
    <w:rsid w:val="004B0A47"/>
    <w:rsid w:val="004B0BB3"/>
    <w:rsid w:val="004B0E56"/>
    <w:rsid w:val="004B13FF"/>
    <w:rsid w:val="004B19A1"/>
    <w:rsid w:val="004B31A9"/>
    <w:rsid w:val="004B40BA"/>
    <w:rsid w:val="004B5B26"/>
    <w:rsid w:val="004C26D0"/>
    <w:rsid w:val="004C7201"/>
    <w:rsid w:val="004C7747"/>
    <w:rsid w:val="004D0D53"/>
    <w:rsid w:val="004D10CA"/>
    <w:rsid w:val="004D1E38"/>
    <w:rsid w:val="004D251A"/>
    <w:rsid w:val="004D3217"/>
    <w:rsid w:val="004D38BE"/>
    <w:rsid w:val="004D3B46"/>
    <w:rsid w:val="004D4995"/>
    <w:rsid w:val="004D51EA"/>
    <w:rsid w:val="004D658C"/>
    <w:rsid w:val="004D66E9"/>
    <w:rsid w:val="004D6833"/>
    <w:rsid w:val="004E25E9"/>
    <w:rsid w:val="004E2EF5"/>
    <w:rsid w:val="004E3CD2"/>
    <w:rsid w:val="004E3ED3"/>
    <w:rsid w:val="004E497C"/>
    <w:rsid w:val="004F0CDC"/>
    <w:rsid w:val="004F28B3"/>
    <w:rsid w:val="004F554B"/>
    <w:rsid w:val="004F74BC"/>
    <w:rsid w:val="00504A1A"/>
    <w:rsid w:val="00511E40"/>
    <w:rsid w:val="0051316D"/>
    <w:rsid w:val="00513DA7"/>
    <w:rsid w:val="00514600"/>
    <w:rsid w:val="00514B14"/>
    <w:rsid w:val="00515699"/>
    <w:rsid w:val="00516E7D"/>
    <w:rsid w:val="00516F49"/>
    <w:rsid w:val="0052035B"/>
    <w:rsid w:val="00520B00"/>
    <w:rsid w:val="00524304"/>
    <w:rsid w:val="0052580A"/>
    <w:rsid w:val="00525CB3"/>
    <w:rsid w:val="0052601D"/>
    <w:rsid w:val="005261A2"/>
    <w:rsid w:val="00531F3B"/>
    <w:rsid w:val="00532814"/>
    <w:rsid w:val="00534EC9"/>
    <w:rsid w:val="005375BE"/>
    <w:rsid w:val="00541DB9"/>
    <w:rsid w:val="00545713"/>
    <w:rsid w:val="00547BC0"/>
    <w:rsid w:val="00550E6D"/>
    <w:rsid w:val="00551C48"/>
    <w:rsid w:val="005536AA"/>
    <w:rsid w:val="00555265"/>
    <w:rsid w:val="00555EF2"/>
    <w:rsid w:val="00557FC5"/>
    <w:rsid w:val="00560410"/>
    <w:rsid w:val="00560437"/>
    <w:rsid w:val="00560E7B"/>
    <w:rsid w:val="00561947"/>
    <w:rsid w:val="0056269E"/>
    <w:rsid w:val="00564164"/>
    <w:rsid w:val="0056433A"/>
    <w:rsid w:val="005645A2"/>
    <w:rsid w:val="00564628"/>
    <w:rsid w:val="005712D2"/>
    <w:rsid w:val="0057378E"/>
    <w:rsid w:val="00574229"/>
    <w:rsid w:val="00574916"/>
    <w:rsid w:val="00584A45"/>
    <w:rsid w:val="00585CD7"/>
    <w:rsid w:val="0059007B"/>
    <w:rsid w:val="00590D40"/>
    <w:rsid w:val="00592332"/>
    <w:rsid w:val="00594575"/>
    <w:rsid w:val="0059594C"/>
    <w:rsid w:val="005972E4"/>
    <w:rsid w:val="005A14D8"/>
    <w:rsid w:val="005A2845"/>
    <w:rsid w:val="005A70FD"/>
    <w:rsid w:val="005A7649"/>
    <w:rsid w:val="005B0846"/>
    <w:rsid w:val="005B0BE7"/>
    <w:rsid w:val="005B4740"/>
    <w:rsid w:val="005B483F"/>
    <w:rsid w:val="005B4CCD"/>
    <w:rsid w:val="005C05C7"/>
    <w:rsid w:val="005C0659"/>
    <w:rsid w:val="005C1EF8"/>
    <w:rsid w:val="005C2800"/>
    <w:rsid w:val="005C2888"/>
    <w:rsid w:val="005C2B32"/>
    <w:rsid w:val="005C3CA4"/>
    <w:rsid w:val="005C52A7"/>
    <w:rsid w:val="005C61B1"/>
    <w:rsid w:val="005D0E05"/>
    <w:rsid w:val="005D24D3"/>
    <w:rsid w:val="005D2A89"/>
    <w:rsid w:val="005D3972"/>
    <w:rsid w:val="005D502B"/>
    <w:rsid w:val="005D58DE"/>
    <w:rsid w:val="005D6432"/>
    <w:rsid w:val="005E25B0"/>
    <w:rsid w:val="005E454E"/>
    <w:rsid w:val="005E5A77"/>
    <w:rsid w:val="005E5FAF"/>
    <w:rsid w:val="005F0BF6"/>
    <w:rsid w:val="005F1217"/>
    <w:rsid w:val="005F2AC6"/>
    <w:rsid w:val="005F4CBE"/>
    <w:rsid w:val="005F5E0C"/>
    <w:rsid w:val="005F6134"/>
    <w:rsid w:val="005F65E2"/>
    <w:rsid w:val="005F6B31"/>
    <w:rsid w:val="005F76E7"/>
    <w:rsid w:val="005F7B64"/>
    <w:rsid w:val="00600F30"/>
    <w:rsid w:val="00606069"/>
    <w:rsid w:val="00606268"/>
    <w:rsid w:val="0060656E"/>
    <w:rsid w:val="00607186"/>
    <w:rsid w:val="00610175"/>
    <w:rsid w:val="0061025A"/>
    <w:rsid w:val="006114AA"/>
    <w:rsid w:val="00611770"/>
    <w:rsid w:val="006139E8"/>
    <w:rsid w:val="0061434F"/>
    <w:rsid w:val="00614F65"/>
    <w:rsid w:val="006162B8"/>
    <w:rsid w:val="00617840"/>
    <w:rsid w:val="00617A4B"/>
    <w:rsid w:val="00617C87"/>
    <w:rsid w:val="00621FA9"/>
    <w:rsid w:val="00622F29"/>
    <w:rsid w:val="00624241"/>
    <w:rsid w:val="0062559B"/>
    <w:rsid w:val="006259C9"/>
    <w:rsid w:val="006266D5"/>
    <w:rsid w:val="00626DEE"/>
    <w:rsid w:val="0062761B"/>
    <w:rsid w:val="006279F7"/>
    <w:rsid w:val="00627FBE"/>
    <w:rsid w:val="0063427D"/>
    <w:rsid w:val="00640B6F"/>
    <w:rsid w:val="00640BF1"/>
    <w:rsid w:val="006411A2"/>
    <w:rsid w:val="00645879"/>
    <w:rsid w:val="0064793F"/>
    <w:rsid w:val="00647A21"/>
    <w:rsid w:val="0065218D"/>
    <w:rsid w:val="0065680B"/>
    <w:rsid w:val="00657892"/>
    <w:rsid w:val="00657E3E"/>
    <w:rsid w:val="006603A4"/>
    <w:rsid w:val="0066345D"/>
    <w:rsid w:val="00665410"/>
    <w:rsid w:val="00674217"/>
    <w:rsid w:val="006747A6"/>
    <w:rsid w:val="00676977"/>
    <w:rsid w:val="006775D1"/>
    <w:rsid w:val="0067799A"/>
    <w:rsid w:val="006807CF"/>
    <w:rsid w:val="00682923"/>
    <w:rsid w:val="006858A8"/>
    <w:rsid w:val="00686186"/>
    <w:rsid w:val="006876D6"/>
    <w:rsid w:val="00687C33"/>
    <w:rsid w:val="00690F1C"/>
    <w:rsid w:val="00694A21"/>
    <w:rsid w:val="00695E68"/>
    <w:rsid w:val="00697159"/>
    <w:rsid w:val="00697B11"/>
    <w:rsid w:val="00697EA8"/>
    <w:rsid w:val="006A1E97"/>
    <w:rsid w:val="006A204B"/>
    <w:rsid w:val="006A6860"/>
    <w:rsid w:val="006A7463"/>
    <w:rsid w:val="006A78EF"/>
    <w:rsid w:val="006B10C3"/>
    <w:rsid w:val="006B1266"/>
    <w:rsid w:val="006B3AD5"/>
    <w:rsid w:val="006B5523"/>
    <w:rsid w:val="006B6A92"/>
    <w:rsid w:val="006C018B"/>
    <w:rsid w:val="006C18DF"/>
    <w:rsid w:val="006C48EE"/>
    <w:rsid w:val="006C4A86"/>
    <w:rsid w:val="006C5911"/>
    <w:rsid w:val="006D0768"/>
    <w:rsid w:val="006D13D3"/>
    <w:rsid w:val="006D2869"/>
    <w:rsid w:val="006D2E92"/>
    <w:rsid w:val="006D2F89"/>
    <w:rsid w:val="006D3BD3"/>
    <w:rsid w:val="006D3D66"/>
    <w:rsid w:val="006D6C57"/>
    <w:rsid w:val="006E036F"/>
    <w:rsid w:val="006E058D"/>
    <w:rsid w:val="006E48AD"/>
    <w:rsid w:val="006E4CF5"/>
    <w:rsid w:val="006F0732"/>
    <w:rsid w:val="006F0824"/>
    <w:rsid w:val="006F1585"/>
    <w:rsid w:val="006F2269"/>
    <w:rsid w:val="006F33C2"/>
    <w:rsid w:val="006F3410"/>
    <w:rsid w:val="006F489E"/>
    <w:rsid w:val="006F7D3E"/>
    <w:rsid w:val="00700DEF"/>
    <w:rsid w:val="007010B4"/>
    <w:rsid w:val="007013EA"/>
    <w:rsid w:val="007015B2"/>
    <w:rsid w:val="007022BB"/>
    <w:rsid w:val="0070398E"/>
    <w:rsid w:val="0070602D"/>
    <w:rsid w:val="007065B9"/>
    <w:rsid w:val="007066AD"/>
    <w:rsid w:val="00706E05"/>
    <w:rsid w:val="007106A3"/>
    <w:rsid w:val="00713CA9"/>
    <w:rsid w:val="007145F5"/>
    <w:rsid w:val="007149D3"/>
    <w:rsid w:val="00715D16"/>
    <w:rsid w:val="00715E4A"/>
    <w:rsid w:val="00716273"/>
    <w:rsid w:val="007167F5"/>
    <w:rsid w:val="00717E40"/>
    <w:rsid w:val="00721EED"/>
    <w:rsid w:val="00733794"/>
    <w:rsid w:val="007349E5"/>
    <w:rsid w:val="007357C6"/>
    <w:rsid w:val="0073628B"/>
    <w:rsid w:val="007379B3"/>
    <w:rsid w:val="0074195A"/>
    <w:rsid w:val="00743578"/>
    <w:rsid w:val="00746F82"/>
    <w:rsid w:val="00747D6D"/>
    <w:rsid w:val="00750663"/>
    <w:rsid w:val="00752531"/>
    <w:rsid w:val="0075495E"/>
    <w:rsid w:val="007559E1"/>
    <w:rsid w:val="007627C1"/>
    <w:rsid w:val="00762D77"/>
    <w:rsid w:val="0076339E"/>
    <w:rsid w:val="00763B54"/>
    <w:rsid w:val="00765B6F"/>
    <w:rsid w:val="00771218"/>
    <w:rsid w:val="007726AB"/>
    <w:rsid w:val="007748ED"/>
    <w:rsid w:val="00774DBC"/>
    <w:rsid w:val="00775F1A"/>
    <w:rsid w:val="0077738E"/>
    <w:rsid w:val="007774EA"/>
    <w:rsid w:val="007818AF"/>
    <w:rsid w:val="00783C39"/>
    <w:rsid w:val="007845F5"/>
    <w:rsid w:val="00784DFA"/>
    <w:rsid w:val="00784F73"/>
    <w:rsid w:val="00786A2D"/>
    <w:rsid w:val="00786BFF"/>
    <w:rsid w:val="00786DEF"/>
    <w:rsid w:val="00790F99"/>
    <w:rsid w:val="0079104F"/>
    <w:rsid w:val="00794591"/>
    <w:rsid w:val="00796E43"/>
    <w:rsid w:val="007A07E6"/>
    <w:rsid w:val="007A09A4"/>
    <w:rsid w:val="007A1FBA"/>
    <w:rsid w:val="007A329A"/>
    <w:rsid w:val="007B04BF"/>
    <w:rsid w:val="007B087D"/>
    <w:rsid w:val="007B1758"/>
    <w:rsid w:val="007B2110"/>
    <w:rsid w:val="007B2A39"/>
    <w:rsid w:val="007B34CC"/>
    <w:rsid w:val="007B6426"/>
    <w:rsid w:val="007C4943"/>
    <w:rsid w:val="007C4E11"/>
    <w:rsid w:val="007C5FA0"/>
    <w:rsid w:val="007C6DBB"/>
    <w:rsid w:val="007C764C"/>
    <w:rsid w:val="007D061A"/>
    <w:rsid w:val="007D20E5"/>
    <w:rsid w:val="007D4A8F"/>
    <w:rsid w:val="007D5060"/>
    <w:rsid w:val="007D5D71"/>
    <w:rsid w:val="007D6399"/>
    <w:rsid w:val="007E2322"/>
    <w:rsid w:val="007E2D04"/>
    <w:rsid w:val="007E492F"/>
    <w:rsid w:val="007E592F"/>
    <w:rsid w:val="007E657A"/>
    <w:rsid w:val="007E6C9A"/>
    <w:rsid w:val="007E6E07"/>
    <w:rsid w:val="007F1115"/>
    <w:rsid w:val="007F1BFF"/>
    <w:rsid w:val="007F1C48"/>
    <w:rsid w:val="007F246D"/>
    <w:rsid w:val="007F4A95"/>
    <w:rsid w:val="007F5943"/>
    <w:rsid w:val="007F59BB"/>
    <w:rsid w:val="008011D6"/>
    <w:rsid w:val="00802E04"/>
    <w:rsid w:val="008042C9"/>
    <w:rsid w:val="00804964"/>
    <w:rsid w:val="008053CE"/>
    <w:rsid w:val="00805415"/>
    <w:rsid w:val="008057D7"/>
    <w:rsid w:val="00812E3F"/>
    <w:rsid w:val="0081334D"/>
    <w:rsid w:val="00815BE4"/>
    <w:rsid w:val="00816D0D"/>
    <w:rsid w:val="0082416E"/>
    <w:rsid w:val="00830C4C"/>
    <w:rsid w:val="00831638"/>
    <w:rsid w:val="00833E3F"/>
    <w:rsid w:val="008368F7"/>
    <w:rsid w:val="00836905"/>
    <w:rsid w:val="0084609E"/>
    <w:rsid w:val="008468CC"/>
    <w:rsid w:val="008511F1"/>
    <w:rsid w:val="008514F1"/>
    <w:rsid w:val="00851E2D"/>
    <w:rsid w:val="00852732"/>
    <w:rsid w:val="00852C91"/>
    <w:rsid w:val="00854794"/>
    <w:rsid w:val="008549F2"/>
    <w:rsid w:val="008647EC"/>
    <w:rsid w:val="00864D08"/>
    <w:rsid w:val="008656F4"/>
    <w:rsid w:val="00871FCD"/>
    <w:rsid w:val="00872739"/>
    <w:rsid w:val="00872898"/>
    <w:rsid w:val="008731EF"/>
    <w:rsid w:val="0087353D"/>
    <w:rsid w:val="00874290"/>
    <w:rsid w:val="008743AA"/>
    <w:rsid w:val="0087726B"/>
    <w:rsid w:val="00882403"/>
    <w:rsid w:val="00884792"/>
    <w:rsid w:val="0088503A"/>
    <w:rsid w:val="00886EA3"/>
    <w:rsid w:val="00887718"/>
    <w:rsid w:val="008918EE"/>
    <w:rsid w:val="00891BD0"/>
    <w:rsid w:val="00891BE0"/>
    <w:rsid w:val="00893468"/>
    <w:rsid w:val="0089460A"/>
    <w:rsid w:val="0089760D"/>
    <w:rsid w:val="008A0314"/>
    <w:rsid w:val="008A2678"/>
    <w:rsid w:val="008A3275"/>
    <w:rsid w:val="008A5465"/>
    <w:rsid w:val="008B02EA"/>
    <w:rsid w:val="008B1DB0"/>
    <w:rsid w:val="008B276E"/>
    <w:rsid w:val="008B6DB5"/>
    <w:rsid w:val="008C4766"/>
    <w:rsid w:val="008D1C3D"/>
    <w:rsid w:val="008D2228"/>
    <w:rsid w:val="008D38CC"/>
    <w:rsid w:val="008D4EE5"/>
    <w:rsid w:val="008D5624"/>
    <w:rsid w:val="008D5A03"/>
    <w:rsid w:val="008E1AC0"/>
    <w:rsid w:val="008E1CB4"/>
    <w:rsid w:val="008E5121"/>
    <w:rsid w:val="008E5BCC"/>
    <w:rsid w:val="008E6BCC"/>
    <w:rsid w:val="008E6CDC"/>
    <w:rsid w:val="008F1030"/>
    <w:rsid w:val="008F3209"/>
    <w:rsid w:val="008F3661"/>
    <w:rsid w:val="008F4F2D"/>
    <w:rsid w:val="008F511C"/>
    <w:rsid w:val="008F58C0"/>
    <w:rsid w:val="009015AA"/>
    <w:rsid w:val="0090179E"/>
    <w:rsid w:val="0090189B"/>
    <w:rsid w:val="00903434"/>
    <w:rsid w:val="00907F9C"/>
    <w:rsid w:val="009128F3"/>
    <w:rsid w:val="0091300B"/>
    <w:rsid w:val="009148BA"/>
    <w:rsid w:val="00916061"/>
    <w:rsid w:val="00916667"/>
    <w:rsid w:val="00916E84"/>
    <w:rsid w:val="0092050F"/>
    <w:rsid w:val="00923F75"/>
    <w:rsid w:val="009246AC"/>
    <w:rsid w:val="00924C17"/>
    <w:rsid w:val="009258B4"/>
    <w:rsid w:val="009267E0"/>
    <w:rsid w:val="00930548"/>
    <w:rsid w:val="00930686"/>
    <w:rsid w:val="00931713"/>
    <w:rsid w:val="00934DC2"/>
    <w:rsid w:val="009356CB"/>
    <w:rsid w:val="00937553"/>
    <w:rsid w:val="00940F7F"/>
    <w:rsid w:val="009475C3"/>
    <w:rsid w:val="00951FB4"/>
    <w:rsid w:val="00953C4E"/>
    <w:rsid w:val="00953EBB"/>
    <w:rsid w:val="00954C32"/>
    <w:rsid w:val="00955FAD"/>
    <w:rsid w:val="00957D0A"/>
    <w:rsid w:val="00961C82"/>
    <w:rsid w:val="00965106"/>
    <w:rsid w:val="00965346"/>
    <w:rsid w:val="0096735D"/>
    <w:rsid w:val="00971421"/>
    <w:rsid w:val="00971906"/>
    <w:rsid w:val="00973132"/>
    <w:rsid w:val="00973D2A"/>
    <w:rsid w:val="00973D5D"/>
    <w:rsid w:val="00975090"/>
    <w:rsid w:val="0097509A"/>
    <w:rsid w:val="00975CAA"/>
    <w:rsid w:val="009762AF"/>
    <w:rsid w:val="009769F0"/>
    <w:rsid w:val="00977486"/>
    <w:rsid w:val="00980B93"/>
    <w:rsid w:val="00981C95"/>
    <w:rsid w:val="00982510"/>
    <w:rsid w:val="00983C05"/>
    <w:rsid w:val="00983EA2"/>
    <w:rsid w:val="0098593E"/>
    <w:rsid w:val="00985EE3"/>
    <w:rsid w:val="0099206B"/>
    <w:rsid w:val="00993E53"/>
    <w:rsid w:val="009941BA"/>
    <w:rsid w:val="0099460E"/>
    <w:rsid w:val="00995D36"/>
    <w:rsid w:val="00996270"/>
    <w:rsid w:val="009A25A8"/>
    <w:rsid w:val="009A65BE"/>
    <w:rsid w:val="009A754A"/>
    <w:rsid w:val="009A7920"/>
    <w:rsid w:val="009B0C81"/>
    <w:rsid w:val="009B1452"/>
    <w:rsid w:val="009B1587"/>
    <w:rsid w:val="009B3B06"/>
    <w:rsid w:val="009B442E"/>
    <w:rsid w:val="009B4742"/>
    <w:rsid w:val="009C0C61"/>
    <w:rsid w:val="009C2A45"/>
    <w:rsid w:val="009C6FA8"/>
    <w:rsid w:val="009C7F31"/>
    <w:rsid w:val="009D15B4"/>
    <w:rsid w:val="009D5D64"/>
    <w:rsid w:val="009D7F82"/>
    <w:rsid w:val="009E01A6"/>
    <w:rsid w:val="009E0CEF"/>
    <w:rsid w:val="009E0E6C"/>
    <w:rsid w:val="009E0F61"/>
    <w:rsid w:val="009E26CD"/>
    <w:rsid w:val="009E2871"/>
    <w:rsid w:val="009E29F1"/>
    <w:rsid w:val="009E3C38"/>
    <w:rsid w:val="009E41CD"/>
    <w:rsid w:val="009E56C1"/>
    <w:rsid w:val="009E5DE9"/>
    <w:rsid w:val="009E6260"/>
    <w:rsid w:val="009E6EDE"/>
    <w:rsid w:val="009E7AAC"/>
    <w:rsid w:val="009F00C6"/>
    <w:rsid w:val="009F1473"/>
    <w:rsid w:val="009F1AFA"/>
    <w:rsid w:val="009F257D"/>
    <w:rsid w:val="009F38C4"/>
    <w:rsid w:val="009F4D72"/>
    <w:rsid w:val="009F4D87"/>
    <w:rsid w:val="009F5F68"/>
    <w:rsid w:val="009F756D"/>
    <w:rsid w:val="00A00993"/>
    <w:rsid w:val="00A00D2D"/>
    <w:rsid w:val="00A01182"/>
    <w:rsid w:val="00A034C7"/>
    <w:rsid w:val="00A03DB0"/>
    <w:rsid w:val="00A04C26"/>
    <w:rsid w:val="00A04D31"/>
    <w:rsid w:val="00A05B35"/>
    <w:rsid w:val="00A060B2"/>
    <w:rsid w:val="00A062C4"/>
    <w:rsid w:val="00A07400"/>
    <w:rsid w:val="00A07BCC"/>
    <w:rsid w:val="00A1042E"/>
    <w:rsid w:val="00A114DD"/>
    <w:rsid w:val="00A15BC7"/>
    <w:rsid w:val="00A166CD"/>
    <w:rsid w:val="00A1686E"/>
    <w:rsid w:val="00A20087"/>
    <w:rsid w:val="00A202ED"/>
    <w:rsid w:val="00A2407C"/>
    <w:rsid w:val="00A24DA0"/>
    <w:rsid w:val="00A25B4D"/>
    <w:rsid w:val="00A26C38"/>
    <w:rsid w:val="00A27022"/>
    <w:rsid w:val="00A30C9C"/>
    <w:rsid w:val="00A3182C"/>
    <w:rsid w:val="00A3255C"/>
    <w:rsid w:val="00A34E19"/>
    <w:rsid w:val="00A364CD"/>
    <w:rsid w:val="00A36EB7"/>
    <w:rsid w:val="00A37CFC"/>
    <w:rsid w:val="00A40150"/>
    <w:rsid w:val="00A40324"/>
    <w:rsid w:val="00A4036C"/>
    <w:rsid w:val="00A40B98"/>
    <w:rsid w:val="00A40CD1"/>
    <w:rsid w:val="00A449F3"/>
    <w:rsid w:val="00A4514E"/>
    <w:rsid w:val="00A451B7"/>
    <w:rsid w:val="00A45DA0"/>
    <w:rsid w:val="00A461F7"/>
    <w:rsid w:val="00A47524"/>
    <w:rsid w:val="00A54FD9"/>
    <w:rsid w:val="00A55F80"/>
    <w:rsid w:val="00A56FFC"/>
    <w:rsid w:val="00A57F22"/>
    <w:rsid w:val="00A60741"/>
    <w:rsid w:val="00A60CA9"/>
    <w:rsid w:val="00A60D30"/>
    <w:rsid w:val="00A66CBF"/>
    <w:rsid w:val="00A66ED3"/>
    <w:rsid w:val="00A66F71"/>
    <w:rsid w:val="00A6724E"/>
    <w:rsid w:val="00A70A08"/>
    <w:rsid w:val="00A73210"/>
    <w:rsid w:val="00A73D6B"/>
    <w:rsid w:val="00A75CB2"/>
    <w:rsid w:val="00A77A15"/>
    <w:rsid w:val="00A800EB"/>
    <w:rsid w:val="00A807A5"/>
    <w:rsid w:val="00A8253A"/>
    <w:rsid w:val="00A82B44"/>
    <w:rsid w:val="00A8302F"/>
    <w:rsid w:val="00A83AB4"/>
    <w:rsid w:val="00A8410F"/>
    <w:rsid w:val="00A85937"/>
    <w:rsid w:val="00A8599A"/>
    <w:rsid w:val="00A86041"/>
    <w:rsid w:val="00A902D1"/>
    <w:rsid w:val="00A91EE0"/>
    <w:rsid w:val="00A92326"/>
    <w:rsid w:val="00A95A3B"/>
    <w:rsid w:val="00A9642F"/>
    <w:rsid w:val="00AA02B0"/>
    <w:rsid w:val="00AA172E"/>
    <w:rsid w:val="00AA1869"/>
    <w:rsid w:val="00AA266A"/>
    <w:rsid w:val="00AA268C"/>
    <w:rsid w:val="00AA2CD7"/>
    <w:rsid w:val="00AA5637"/>
    <w:rsid w:val="00AA7604"/>
    <w:rsid w:val="00AA7ACB"/>
    <w:rsid w:val="00AB2E64"/>
    <w:rsid w:val="00AB40B8"/>
    <w:rsid w:val="00AC0286"/>
    <w:rsid w:val="00AC0B74"/>
    <w:rsid w:val="00AC2795"/>
    <w:rsid w:val="00AC33C8"/>
    <w:rsid w:val="00AC3CA1"/>
    <w:rsid w:val="00AC3FDB"/>
    <w:rsid w:val="00AC4A16"/>
    <w:rsid w:val="00AD25D2"/>
    <w:rsid w:val="00AD3369"/>
    <w:rsid w:val="00AD5623"/>
    <w:rsid w:val="00AD611E"/>
    <w:rsid w:val="00AD7FC0"/>
    <w:rsid w:val="00AE082F"/>
    <w:rsid w:val="00AE098F"/>
    <w:rsid w:val="00AE0B6F"/>
    <w:rsid w:val="00AE1121"/>
    <w:rsid w:val="00AE2404"/>
    <w:rsid w:val="00AE542B"/>
    <w:rsid w:val="00AF0C05"/>
    <w:rsid w:val="00AF0EEB"/>
    <w:rsid w:val="00AF1EA3"/>
    <w:rsid w:val="00AF2878"/>
    <w:rsid w:val="00AF288D"/>
    <w:rsid w:val="00AF5A07"/>
    <w:rsid w:val="00AF65D5"/>
    <w:rsid w:val="00B00192"/>
    <w:rsid w:val="00B00737"/>
    <w:rsid w:val="00B00F67"/>
    <w:rsid w:val="00B04445"/>
    <w:rsid w:val="00B04A00"/>
    <w:rsid w:val="00B137A9"/>
    <w:rsid w:val="00B15504"/>
    <w:rsid w:val="00B157E2"/>
    <w:rsid w:val="00B16A02"/>
    <w:rsid w:val="00B16C03"/>
    <w:rsid w:val="00B17617"/>
    <w:rsid w:val="00B176E9"/>
    <w:rsid w:val="00B2028E"/>
    <w:rsid w:val="00B22589"/>
    <w:rsid w:val="00B22E35"/>
    <w:rsid w:val="00B24E32"/>
    <w:rsid w:val="00B24F82"/>
    <w:rsid w:val="00B25CDC"/>
    <w:rsid w:val="00B278F3"/>
    <w:rsid w:val="00B3387A"/>
    <w:rsid w:val="00B34A4E"/>
    <w:rsid w:val="00B37522"/>
    <w:rsid w:val="00B46DEE"/>
    <w:rsid w:val="00B47B20"/>
    <w:rsid w:val="00B51B9B"/>
    <w:rsid w:val="00B52D63"/>
    <w:rsid w:val="00B53A44"/>
    <w:rsid w:val="00B53B8E"/>
    <w:rsid w:val="00B54567"/>
    <w:rsid w:val="00B54C07"/>
    <w:rsid w:val="00B552F9"/>
    <w:rsid w:val="00B62594"/>
    <w:rsid w:val="00B637E6"/>
    <w:rsid w:val="00B63869"/>
    <w:rsid w:val="00B64978"/>
    <w:rsid w:val="00B66DEB"/>
    <w:rsid w:val="00B701AD"/>
    <w:rsid w:val="00B70AE5"/>
    <w:rsid w:val="00B70EC1"/>
    <w:rsid w:val="00B73D18"/>
    <w:rsid w:val="00B8033E"/>
    <w:rsid w:val="00B80D27"/>
    <w:rsid w:val="00B84954"/>
    <w:rsid w:val="00B855DE"/>
    <w:rsid w:val="00B869B7"/>
    <w:rsid w:val="00B878D1"/>
    <w:rsid w:val="00B90984"/>
    <w:rsid w:val="00B90C1C"/>
    <w:rsid w:val="00B90D7D"/>
    <w:rsid w:val="00B93BB3"/>
    <w:rsid w:val="00B951E3"/>
    <w:rsid w:val="00B962D1"/>
    <w:rsid w:val="00B970C3"/>
    <w:rsid w:val="00B97C49"/>
    <w:rsid w:val="00BA062A"/>
    <w:rsid w:val="00BB5035"/>
    <w:rsid w:val="00BB647A"/>
    <w:rsid w:val="00BC3CFB"/>
    <w:rsid w:val="00BC417C"/>
    <w:rsid w:val="00BC4A80"/>
    <w:rsid w:val="00BC5D32"/>
    <w:rsid w:val="00BC6D7A"/>
    <w:rsid w:val="00BC77EA"/>
    <w:rsid w:val="00BC7BC3"/>
    <w:rsid w:val="00BC7DD9"/>
    <w:rsid w:val="00BD0589"/>
    <w:rsid w:val="00BD4008"/>
    <w:rsid w:val="00BD40FA"/>
    <w:rsid w:val="00BD4DE1"/>
    <w:rsid w:val="00BD6120"/>
    <w:rsid w:val="00BD69F2"/>
    <w:rsid w:val="00BD76B8"/>
    <w:rsid w:val="00BE0BC3"/>
    <w:rsid w:val="00BE1441"/>
    <w:rsid w:val="00BE451E"/>
    <w:rsid w:val="00BE56CA"/>
    <w:rsid w:val="00BE62F0"/>
    <w:rsid w:val="00BF0E09"/>
    <w:rsid w:val="00BF13AD"/>
    <w:rsid w:val="00BF1734"/>
    <w:rsid w:val="00BF1A8E"/>
    <w:rsid w:val="00BF2AFD"/>
    <w:rsid w:val="00BF2C41"/>
    <w:rsid w:val="00BF2FE1"/>
    <w:rsid w:val="00BF3EC8"/>
    <w:rsid w:val="00BF454A"/>
    <w:rsid w:val="00BF55AA"/>
    <w:rsid w:val="00BF5A99"/>
    <w:rsid w:val="00C00180"/>
    <w:rsid w:val="00C01876"/>
    <w:rsid w:val="00C03B62"/>
    <w:rsid w:val="00C05D7E"/>
    <w:rsid w:val="00C073F3"/>
    <w:rsid w:val="00C1147E"/>
    <w:rsid w:val="00C11760"/>
    <w:rsid w:val="00C15471"/>
    <w:rsid w:val="00C160BF"/>
    <w:rsid w:val="00C20C57"/>
    <w:rsid w:val="00C21006"/>
    <w:rsid w:val="00C21855"/>
    <w:rsid w:val="00C22ECE"/>
    <w:rsid w:val="00C231DD"/>
    <w:rsid w:val="00C2361A"/>
    <w:rsid w:val="00C31F9A"/>
    <w:rsid w:val="00C33322"/>
    <w:rsid w:val="00C33CCE"/>
    <w:rsid w:val="00C35460"/>
    <w:rsid w:val="00C3768C"/>
    <w:rsid w:val="00C41845"/>
    <w:rsid w:val="00C42D1A"/>
    <w:rsid w:val="00C43F78"/>
    <w:rsid w:val="00C46831"/>
    <w:rsid w:val="00C57C67"/>
    <w:rsid w:val="00C60F89"/>
    <w:rsid w:val="00C61F41"/>
    <w:rsid w:val="00C62112"/>
    <w:rsid w:val="00C62F6C"/>
    <w:rsid w:val="00C6363A"/>
    <w:rsid w:val="00C64426"/>
    <w:rsid w:val="00C646F5"/>
    <w:rsid w:val="00C65532"/>
    <w:rsid w:val="00C6723C"/>
    <w:rsid w:val="00C73892"/>
    <w:rsid w:val="00C744EE"/>
    <w:rsid w:val="00C74909"/>
    <w:rsid w:val="00C80DB8"/>
    <w:rsid w:val="00C80E7C"/>
    <w:rsid w:val="00C81130"/>
    <w:rsid w:val="00C8507F"/>
    <w:rsid w:val="00C94851"/>
    <w:rsid w:val="00C94E62"/>
    <w:rsid w:val="00C96031"/>
    <w:rsid w:val="00C96510"/>
    <w:rsid w:val="00CA16A1"/>
    <w:rsid w:val="00CA30D0"/>
    <w:rsid w:val="00CA36CC"/>
    <w:rsid w:val="00CA512B"/>
    <w:rsid w:val="00CA5FAA"/>
    <w:rsid w:val="00CA7852"/>
    <w:rsid w:val="00CA7B27"/>
    <w:rsid w:val="00CB1A9A"/>
    <w:rsid w:val="00CB4705"/>
    <w:rsid w:val="00CB534F"/>
    <w:rsid w:val="00CB5B0B"/>
    <w:rsid w:val="00CB6006"/>
    <w:rsid w:val="00CB760F"/>
    <w:rsid w:val="00CB7DF1"/>
    <w:rsid w:val="00CC20DB"/>
    <w:rsid w:val="00CC3968"/>
    <w:rsid w:val="00CC3F93"/>
    <w:rsid w:val="00CC4F46"/>
    <w:rsid w:val="00CC559B"/>
    <w:rsid w:val="00CC7771"/>
    <w:rsid w:val="00CD633E"/>
    <w:rsid w:val="00CD76B4"/>
    <w:rsid w:val="00CD7F04"/>
    <w:rsid w:val="00CE0669"/>
    <w:rsid w:val="00CE6B22"/>
    <w:rsid w:val="00CE7702"/>
    <w:rsid w:val="00CE7B49"/>
    <w:rsid w:val="00CF1579"/>
    <w:rsid w:val="00CF1C4D"/>
    <w:rsid w:val="00CF79DD"/>
    <w:rsid w:val="00CF7A98"/>
    <w:rsid w:val="00D00A23"/>
    <w:rsid w:val="00D0281E"/>
    <w:rsid w:val="00D02CCB"/>
    <w:rsid w:val="00D03842"/>
    <w:rsid w:val="00D03F1E"/>
    <w:rsid w:val="00D059A6"/>
    <w:rsid w:val="00D0678C"/>
    <w:rsid w:val="00D076C9"/>
    <w:rsid w:val="00D120A7"/>
    <w:rsid w:val="00D160D3"/>
    <w:rsid w:val="00D2100D"/>
    <w:rsid w:val="00D23733"/>
    <w:rsid w:val="00D240CD"/>
    <w:rsid w:val="00D2703F"/>
    <w:rsid w:val="00D274BF"/>
    <w:rsid w:val="00D31B02"/>
    <w:rsid w:val="00D3372E"/>
    <w:rsid w:val="00D35832"/>
    <w:rsid w:val="00D372A1"/>
    <w:rsid w:val="00D4123E"/>
    <w:rsid w:val="00D4168E"/>
    <w:rsid w:val="00D41EE8"/>
    <w:rsid w:val="00D44446"/>
    <w:rsid w:val="00D46888"/>
    <w:rsid w:val="00D50436"/>
    <w:rsid w:val="00D50A89"/>
    <w:rsid w:val="00D5450E"/>
    <w:rsid w:val="00D55194"/>
    <w:rsid w:val="00D60E39"/>
    <w:rsid w:val="00D63575"/>
    <w:rsid w:val="00D63CA3"/>
    <w:rsid w:val="00D63D41"/>
    <w:rsid w:val="00D63FF9"/>
    <w:rsid w:val="00D6609B"/>
    <w:rsid w:val="00D6736E"/>
    <w:rsid w:val="00D704FB"/>
    <w:rsid w:val="00D705CA"/>
    <w:rsid w:val="00D70765"/>
    <w:rsid w:val="00D71151"/>
    <w:rsid w:val="00D726F4"/>
    <w:rsid w:val="00D730E0"/>
    <w:rsid w:val="00D73542"/>
    <w:rsid w:val="00D74016"/>
    <w:rsid w:val="00D746CD"/>
    <w:rsid w:val="00D758DB"/>
    <w:rsid w:val="00D76D08"/>
    <w:rsid w:val="00D77EBA"/>
    <w:rsid w:val="00D8105C"/>
    <w:rsid w:val="00D83462"/>
    <w:rsid w:val="00D83A83"/>
    <w:rsid w:val="00D869B9"/>
    <w:rsid w:val="00D90EBC"/>
    <w:rsid w:val="00D9260F"/>
    <w:rsid w:val="00D9306E"/>
    <w:rsid w:val="00D93FEF"/>
    <w:rsid w:val="00D94D39"/>
    <w:rsid w:val="00D9720B"/>
    <w:rsid w:val="00DA0068"/>
    <w:rsid w:val="00DA17EC"/>
    <w:rsid w:val="00DA1DEC"/>
    <w:rsid w:val="00DA23D0"/>
    <w:rsid w:val="00DA2652"/>
    <w:rsid w:val="00DA2ABE"/>
    <w:rsid w:val="00DA2C43"/>
    <w:rsid w:val="00DA3757"/>
    <w:rsid w:val="00DA6ECA"/>
    <w:rsid w:val="00DA6F44"/>
    <w:rsid w:val="00DB0FA9"/>
    <w:rsid w:val="00DB2845"/>
    <w:rsid w:val="00DB2A6E"/>
    <w:rsid w:val="00DB33F2"/>
    <w:rsid w:val="00DB4027"/>
    <w:rsid w:val="00DB54CF"/>
    <w:rsid w:val="00DB62CF"/>
    <w:rsid w:val="00DB78A5"/>
    <w:rsid w:val="00DC0454"/>
    <w:rsid w:val="00DC2E07"/>
    <w:rsid w:val="00DC4872"/>
    <w:rsid w:val="00DC50A9"/>
    <w:rsid w:val="00DD0FE0"/>
    <w:rsid w:val="00DD11F6"/>
    <w:rsid w:val="00DD34BC"/>
    <w:rsid w:val="00DD3FB6"/>
    <w:rsid w:val="00DD5EB0"/>
    <w:rsid w:val="00DE01EA"/>
    <w:rsid w:val="00DE1603"/>
    <w:rsid w:val="00DE364B"/>
    <w:rsid w:val="00DE365C"/>
    <w:rsid w:val="00DE7163"/>
    <w:rsid w:val="00DE785C"/>
    <w:rsid w:val="00DF48CA"/>
    <w:rsid w:val="00DF5648"/>
    <w:rsid w:val="00DF5A5C"/>
    <w:rsid w:val="00E00973"/>
    <w:rsid w:val="00E01821"/>
    <w:rsid w:val="00E0214A"/>
    <w:rsid w:val="00E02F34"/>
    <w:rsid w:val="00E0380C"/>
    <w:rsid w:val="00E05608"/>
    <w:rsid w:val="00E065E3"/>
    <w:rsid w:val="00E069CD"/>
    <w:rsid w:val="00E104CA"/>
    <w:rsid w:val="00E11877"/>
    <w:rsid w:val="00E11EBF"/>
    <w:rsid w:val="00E127FB"/>
    <w:rsid w:val="00E156CD"/>
    <w:rsid w:val="00E17E42"/>
    <w:rsid w:val="00E20473"/>
    <w:rsid w:val="00E20B33"/>
    <w:rsid w:val="00E21193"/>
    <w:rsid w:val="00E2291D"/>
    <w:rsid w:val="00E234EF"/>
    <w:rsid w:val="00E24346"/>
    <w:rsid w:val="00E26B90"/>
    <w:rsid w:val="00E26C51"/>
    <w:rsid w:val="00E317CA"/>
    <w:rsid w:val="00E32BD5"/>
    <w:rsid w:val="00E34F00"/>
    <w:rsid w:val="00E40CCB"/>
    <w:rsid w:val="00E418CA"/>
    <w:rsid w:val="00E41AF8"/>
    <w:rsid w:val="00E4257D"/>
    <w:rsid w:val="00E47A7D"/>
    <w:rsid w:val="00E5298D"/>
    <w:rsid w:val="00E52E99"/>
    <w:rsid w:val="00E559BD"/>
    <w:rsid w:val="00E61238"/>
    <w:rsid w:val="00E622A7"/>
    <w:rsid w:val="00E64834"/>
    <w:rsid w:val="00E67A2B"/>
    <w:rsid w:val="00E70268"/>
    <w:rsid w:val="00E72E53"/>
    <w:rsid w:val="00E7318C"/>
    <w:rsid w:val="00E73236"/>
    <w:rsid w:val="00E73DDA"/>
    <w:rsid w:val="00E7484D"/>
    <w:rsid w:val="00E77008"/>
    <w:rsid w:val="00E8036F"/>
    <w:rsid w:val="00E8279C"/>
    <w:rsid w:val="00E828D3"/>
    <w:rsid w:val="00E833B2"/>
    <w:rsid w:val="00E84047"/>
    <w:rsid w:val="00E86BCA"/>
    <w:rsid w:val="00E86C29"/>
    <w:rsid w:val="00E903FF"/>
    <w:rsid w:val="00E90826"/>
    <w:rsid w:val="00E90EAB"/>
    <w:rsid w:val="00E9362F"/>
    <w:rsid w:val="00E948D4"/>
    <w:rsid w:val="00E952D9"/>
    <w:rsid w:val="00E959AE"/>
    <w:rsid w:val="00E96E10"/>
    <w:rsid w:val="00E975BB"/>
    <w:rsid w:val="00EA5066"/>
    <w:rsid w:val="00EA63D8"/>
    <w:rsid w:val="00EA6C48"/>
    <w:rsid w:val="00EA6CC8"/>
    <w:rsid w:val="00EA72AB"/>
    <w:rsid w:val="00EB1FD3"/>
    <w:rsid w:val="00EB4F93"/>
    <w:rsid w:val="00EB730C"/>
    <w:rsid w:val="00EB74B0"/>
    <w:rsid w:val="00EC16C3"/>
    <w:rsid w:val="00EC36D8"/>
    <w:rsid w:val="00EC4AF0"/>
    <w:rsid w:val="00EC506B"/>
    <w:rsid w:val="00EC5194"/>
    <w:rsid w:val="00EC67AC"/>
    <w:rsid w:val="00ED18E5"/>
    <w:rsid w:val="00ED1E20"/>
    <w:rsid w:val="00ED46DF"/>
    <w:rsid w:val="00EE1623"/>
    <w:rsid w:val="00EE5A8F"/>
    <w:rsid w:val="00EE61F0"/>
    <w:rsid w:val="00EF0020"/>
    <w:rsid w:val="00EF3A9F"/>
    <w:rsid w:val="00EF5184"/>
    <w:rsid w:val="00EF63FC"/>
    <w:rsid w:val="00EF71E1"/>
    <w:rsid w:val="00EF79F2"/>
    <w:rsid w:val="00F00848"/>
    <w:rsid w:val="00F00C4C"/>
    <w:rsid w:val="00F01910"/>
    <w:rsid w:val="00F0267A"/>
    <w:rsid w:val="00F04473"/>
    <w:rsid w:val="00F051B9"/>
    <w:rsid w:val="00F0579D"/>
    <w:rsid w:val="00F059C0"/>
    <w:rsid w:val="00F06A48"/>
    <w:rsid w:val="00F06D04"/>
    <w:rsid w:val="00F06ED8"/>
    <w:rsid w:val="00F10AE5"/>
    <w:rsid w:val="00F10B6D"/>
    <w:rsid w:val="00F14115"/>
    <w:rsid w:val="00F1427A"/>
    <w:rsid w:val="00F14CFD"/>
    <w:rsid w:val="00F15696"/>
    <w:rsid w:val="00F17B94"/>
    <w:rsid w:val="00F205B5"/>
    <w:rsid w:val="00F21011"/>
    <w:rsid w:val="00F216A5"/>
    <w:rsid w:val="00F240C7"/>
    <w:rsid w:val="00F26045"/>
    <w:rsid w:val="00F27B65"/>
    <w:rsid w:val="00F27DE2"/>
    <w:rsid w:val="00F300B1"/>
    <w:rsid w:val="00F301EC"/>
    <w:rsid w:val="00F302F0"/>
    <w:rsid w:val="00F307B6"/>
    <w:rsid w:val="00F30875"/>
    <w:rsid w:val="00F3159F"/>
    <w:rsid w:val="00F34BCC"/>
    <w:rsid w:val="00F35215"/>
    <w:rsid w:val="00F3532D"/>
    <w:rsid w:val="00F35836"/>
    <w:rsid w:val="00F36A2B"/>
    <w:rsid w:val="00F37384"/>
    <w:rsid w:val="00F417D0"/>
    <w:rsid w:val="00F41EA0"/>
    <w:rsid w:val="00F43FBF"/>
    <w:rsid w:val="00F44F93"/>
    <w:rsid w:val="00F45F10"/>
    <w:rsid w:val="00F46A4D"/>
    <w:rsid w:val="00F46C2A"/>
    <w:rsid w:val="00F46E7E"/>
    <w:rsid w:val="00F50760"/>
    <w:rsid w:val="00F50B95"/>
    <w:rsid w:val="00F51DDB"/>
    <w:rsid w:val="00F53C4D"/>
    <w:rsid w:val="00F53C91"/>
    <w:rsid w:val="00F568D3"/>
    <w:rsid w:val="00F63580"/>
    <w:rsid w:val="00F6362D"/>
    <w:rsid w:val="00F63EDE"/>
    <w:rsid w:val="00F65F05"/>
    <w:rsid w:val="00F66F04"/>
    <w:rsid w:val="00F67CC0"/>
    <w:rsid w:val="00F72958"/>
    <w:rsid w:val="00F7370B"/>
    <w:rsid w:val="00F73844"/>
    <w:rsid w:val="00F751BB"/>
    <w:rsid w:val="00F767B9"/>
    <w:rsid w:val="00F768AA"/>
    <w:rsid w:val="00F772CE"/>
    <w:rsid w:val="00F813CA"/>
    <w:rsid w:val="00F84DAD"/>
    <w:rsid w:val="00F8578D"/>
    <w:rsid w:val="00F86806"/>
    <w:rsid w:val="00F87725"/>
    <w:rsid w:val="00F918B1"/>
    <w:rsid w:val="00F92729"/>
    <w:rsid w:val="00F94FD9"/>
    <w:rsid w:val="00F950E8"/>
    <w:rsid w:val="00FA4000"/>
    <w:rsid w:val="00FB1D64"/>
    <w:rsid w:val="00FB3EAC"/>
    <w:rsid w:val="00FB6327"/>
    <w:rsid w:val="00FC1266"/>
    <w:rsid w:val="00FC695E"/>
    <w:rsid w:val="00FD0154"/>
    <w:rsid w:val="00FD1DB5"/>
    <w:rsid w:val="00FD4029"/>
    <w:rsid w:val="00FD5EB3"/>
    <w:rsid w:val="00FD6CAB"/>
    <w:rsid w:val="00FD7E6B"/>
    <w:rsid w:val="00FE461D"/>
    <w:rsid w:val="00FE6582"/>
    <w:rsid w:val="00FE73EB"/>
    <w:rsid w:val="00FE743D"/>
    <w:rsid w:val="00FF0604"/>
    <w:rsid w:val="00FF294E"/>
    <w:rsid w:val="00FF2E3E"/>
    <w:rsid w:val="00FF2E48"/>
    <w:rsid w:val="00FF4140"/>
    <w:rsid w:val="00FF51F0"/>
    <w:rsid w:val="00FF54B7"/>
    <w:rsid w:val="00FF579D"/>
    <w:rsid w:val="00FF6112"/>
    <w:rsid w:val="00FF7267"/>
    <w:rsid w:val="014D6F66"/>
    <w:rsid w:val="0DFA7BC0"/>
    <w:rsid w:val="10EF0D14"/>
    <w:rsid w:val="11685F36"/>
    <w:rsid w:val="11E228D3"/>
    <w:rsid w:val="12FB0E24"/>
    <w:rsid w:val="132F6D22"/>
    <w:rsid w:val="14E05AD6"/>
    <w:rsid w:val="1C3144E8"/>
    <w:rsid w:val="1DBFA013"/>
    <w:rsid w:val="1F5A57E2"/>
    <w:rsid w:val="21070C50"/>
    <w:rsid w:val="24A52A74"/>
    <w:rsid w:val="27BFA0EC"/>
    <w:rsid w:val="27E90ABF"/>
    <w:rsid w:val="2BFC2575"/>
    <w:rsid w:val="2E7E2CA7"/>
    <w:rsid w:val="2EC3135E"/>
    <w:rsid w:val="2F75150B"/>
    <w:rsid w:val="337DE186"/>
    <w:rsid w:val="33AE68D9"/>
    <w:rsid w:val="3595356A"/>
    <w:rsid w:val="35C54AD7"/>
    <w:rsid w:val="37FC29DB"/>
    <w:rsid w:val="3A3E6C77"/>
    <w:rsid w:val="3C617D07"/>
    <w:rsid w:val="3E59580C"/>
    <w:rsid w:val="3FEFDCD2"/>
    <w:rsid w:val="3FFD9B4D"/>
    <w:rsid w:val="40AC7344"/>
    <w:rsid w:val="44782D86"/>
    <w:rsid w:val="46152870"/>
    <w:rsid w:val="4749647C"/>
    <w:rsid w:val="47975C19"/>
    <w:rsid w:val="493D0EE1"/>
    <w:rsid w:val="4A5C451E"/>
    <w:rsid w:val="4A6649BF"/>
    <w:rsid w:val="4AD873B8"/>
    <w:rsid w:val="4BD554F3"/>
    <w:rsid w:val="4BFEBED9"/>
    <w:rsid w:val="523A10B6"/>
    <w:rsid w:val="53300789"/>
    <w:rsid w:val="54012D25"/>
    <w:rsid w:val="58C95073"/>
    <w:rsid w:val="59E566C8"/>
    <w:rsid w:val="5A1457D2"/>
    <w:rsid w:val="5AFF097D"/>
    <w:rsid w:val="5BFC5FF7"/>
    <w:rsid w:val="5F8A64CA"/>
    <w:rsid w:val="625978FB"/>
    <w:rsid w:val="63706F37"/>
    <w:rsid w:val="63FFF254"/>
    <w:rsid w:val="6A1860EC"/>
    <w:rsid w:val="6AE516E2"/>
    <w:rsid w:val="6AEA5EDC"/>
    <w:rsid w:val="6E731356"/>
    <w:rsid w:val="6ED40555"/>
    <w:rsid w:val="6F3E4C16"/>
    <w:rsid w:val="70223303"/>
    <w:rsid w:val="709C31F1"/>
    <w:rsid w:val="742835D1"/>
    <w:rsid w:val="74420229"/>
    <w:rsid w:val="76FF3E9F"/>
    <w:rsid w:val="77DF8B5B"/>
    <w:rsid w:val="7878626E"/>
    <w:rsid w:val="7A154B23"/>
    <w:rsid w:val="7AAF1560"/>
    <w:rsid w:val="7BEE1670"/>
    <w:rsid w:val="7C2D7BD9"/>
    <w:rsid w:val="7CBDC657"/>
    <w:rsid w:val="7D5A7E61"/>
    <w:rsid w:val="7D9BC62B"/>
    <w:rsid w:val="7E61605D"/>
    <w:rsid w:val="7EE71416"/>
    <w:rsid w:val="7EE93836"/>
    <w:rsid w:val="7FAF168C"/>
    <w:rsid w:val="7FED9890"/>
    <w:rsid w:val="7FFF97F4"/>
    <w:rsid w:val="ABADA31D"/>
    <w:rsid w:val="BFF65231"/>
    <w:rsid w:val="BFFFF9D3"/>
    <w:rsid w:val="D4BB37B8"/>
    <w:rsid w:val="DCFFD52A"/>
    <w:rsid w:val="DDAE8751"/>
    <w:rsid w:val="EBEF9DF6"/>
    <w:rsid w:val="F3F9B799"/>
    <w:rsid w:val="F5FC22A4"/>
    <w:rsid w:val="FD7EADF0"/>
    <w:rsid w:val="FFF76A40"/>
    <w:rsid w:val="FFFE1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semiHidden/>
    <w:qFormat/>
    <w:uiPriority w:val="99"/>
    <w:rPr>
      <w:rFonts w:ascii="Calibri" w:hAnsi="Calibri" w:eastAsia="宋体" w:cs="Times New Roman"/>
      <w:sz w:val="18"/>
      <w:szCs w:val="18"/>
    </w:rPr>
  </w:style>
  <w:style w:type="character" w:customStyle="1" w:styleId="10">
    <w:name w:val="页眉 Char"/>
    <w:basedOn w:val="8"/>
    <w:link w:val="4"/>
    <w:qFormat/>
    <w:uiPriority w:val="99"/>
    <w:rPr>
      <w:rFonts w:ascii="Calibri" w:hAnsi="Calibri" w:eastAsia="宋体" w:cs="Times New Roman"/>
      <w:sz w:val="18"/>
      <w:szCs w:val="18"/>
    </w:rPr>
  </w:style>
  <w:style w:type="character" w:customStyle="1" w:styleId="11">
    <w:name w:val="页脚 Char"/>
    <w:basedOn w:val="8"/>
    <w:link w:val="3"/>
    <w:qFormat/>
    <w:uiPriority w:val="99"/>
    <w:rPr>
      <w:rFonts w:ascii="Calibri" w:hAnsi="Calibri" w:eastAsia="宋体" w:cs="Times New Roman"/>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1520</Words>
  <Characters>8670</Characters>
  <Lines>72</Lines>
  <Paragraphs>20</Paragraphs>
  <TotalTime>6</TotalTime>
  <ScaleCrop>false</ScaleCrop>
  <LinksUpToDate>false</LinksUpToDate>
  <CharactersWithSpaces>10170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2021-01-28T07:29:00Z</dcterms:created>
  <dc:creator>夏敬周</dc:creator>
  <cp:lastModifiedBy>administrator</cp:lastModifiedBy>
  <cp:lastPrinted>2021-01-30T00:22:00Z</cp:lastPrinted>
  <dcterms:modified xsi:type="dcterms:W3CDTF">2022-12-14T17:02:10Z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5149E47A8A6A43B48045A4DF865745CE</vt:lpwstr>
  </property>
</Properties>
</file>