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7826FF">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color w:val="000000"/>
          <w:kern w:val="0"/>
          <w:sz w:val="44"/>
          <w:szCs w:val="44"/>
        </w:rPr>
      </w:pPr>
      <w:r>
        <w:rPr>
          <w:rFonts w:hint="eastAsia" w:ascii="Times New Roman" w:hAnsi="Times New Roman" w:eastAsia="方正小标宋简体" w:cs="Times New Roman"/>
          <w:color w:val="000000"/>
          <w:kern w:val="0"/>
          <w:sz w:val="44"/>
          <w:szCs w:val="44"/>
        </w:rPr>
        <w:t>六安市重点工程建设管理处</w:t>
      </w:r>
      <w:r>
        <w:rPr>
          <w:rFonts w:hint="eastAsia" w:ascii="Times New Roman" w:hAnsi="Times New Roman" w:eastAsia="方正小标宋简体" w:cs="Times New Roman"/>
          <w:color w:val="000000"/>
          <w:kern w:val="0"/>
          <w:sz w:val="44"/>
          <w:szCs w:val="44"/>
          <w:lang w:eastAsia="zh-CN"/>
        </w:rPr>
        <w:t>202</w:t>
      </w:r>
      <w:r>
        <w:rPr>
          <w:rFonts w:hint="eastAsia" w:ascii="Times New Roman" w:hAnsi="Times New Roman" w:eastAsia="方正小标宋简体" w:cs="Times New Roman"/>
          <w:color w:val="000000"/>
          <w:kern w:val="0"/>
          <w:sz w:val="44"/>
          <w:szCs w:val="44"/>
          <w:lang w:val="en-US" w:eastAsia="zh-CN"/>
        </w:rPr>
        <w:t>4</w:t>
      </w:r>
      <w:r>
        <w:rPr>
          <w:rFonts w:hint="eastAsia" w:ascii="Times New Roman" w:hAnsi="Times New Roman" w:eastAsia="方正小标宋简体" w:cs="Times New Roman"/>
          <w:color w:val="000000"/>
          <w:kern w:val="0"/>
          <w:sz w:val="44"/>
          <w:szCs w:val="44"/>
        </w:rPr>
        <w:t>年</w:t>
      </w:r>
    </w:p>
    <w:p w14:paraId="0310A8F9">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color w:val="000000"/>
          <w:kern w:val="0"/>
          <w:sz w:val="44"/>
          <w:szCs w:val="44"/>
        </w:rPr>
      </w:pPr>
      <w:r>
        <w:rPr>
          <w:rFonts w:hint="eastAsia" w:ascii="Times New Roman" w:hAnsi="Times New Roman" w:eastAsia="方正小标宋简体" w:cs="Times New Roman"/>
          <w:color w:val="000000"/>
          <w:kern w:val="0"/>
          <w:sz w:val="44"/>
          <w:szCs w:val="44"/>
        </w:rPr>
        <w:t>政府信息公开工作年度报告</w:t>
      </w:r>
    </w:p>
    <w:p w14:paraId="36555515">
      <w:pPr>
        <w:widowControl/>
        <w:shd w:val="clear" w:color="auto" w:fill="FFFFFF"/>
        <w:ind w:firstLine="480"/>
        <w:rPr>
          <w:rFonts w:hint="eastAsia" w:ascii="Times New Roman" w:hAnsi="Times New Roman" w:eastAsia="仿宋_GB2312" w:cs="Times New Roman"/>
          <w:color w:val="000000"/>
          <w:kern w:val="0"/>
          <w:sz w:val="24"/>
          <w:szCs w:val="32"/>
        </w:rPr>
      </w:pPr>
    </w:p>
    <w:p w14:paraId="2BD34C39">
      <w:pPr>
        <w:widowControl/>
        <w:shd w:val="clear" w:color="auto" w:fill="FFFFFF"/>
        <w:ind w:firstLine="640" w:firstLineChars="200"/>
        <w:rPr>
          <w:rFonts w:ascii="Times New Roman" w:hAnsi="Times New Roman" w:eastAsia="仿宋_GB2312" w:cs="Times New Roman"/>
          <w:color w:val="000000"/>
          <w:kern w:val="0"/>
          <w:sz w:val="32"/>
          <w:szCs w:val="32"/>
        </w:rPr>
      </w:pPr>
      <w:r>
        <w:rPr>
          <w:rFonts w:hint="eastAsia" w:ascii="仿宋_GB2312" w:hAnsi="仿宋_GB2312" w:eastAsia="仿宋_GB2312" w:cs="仿宋_GB2312"/>
          <w:color w:val="000000"/>
          <w:kern w:val="0"/>
          <w:sz w:val="32"/>
          <w:szCs w:val="32"/>
        </w:rPr>
        <w:t>根据《中华人民共和国政府信息公开条例》第五十条相关规定，结合上级有关文件精神要求及工作实际，六安市重点工程建设管理处编制202</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年度政府信息公开年度报告。本报告包括总体情况、主动公开政府信息情况、收到和处理政府信息公开申请情况、因政府信息公开工作被申请行政复议、提起行政诉讼情况和其他需要报告的事项。本年度报告中使用数据统计期限为202</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年1月1日至202</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年12月31日，本年度报告电子版可在六安市重点工程建设管理处信息公开平台下载。如对本报告有任何疑问，请与六安市重点工程建设管理处联系（地址：六安市佛子岭中路134号；邮编237000；联系电话：0564-3953977）</w:t>
      </w:r>
    </w:p>
    <w:p w14:paraId="302AC22B">
      <w:pPr>
        <w:widowControl/>
        <w:shd w:val="clear" w:color="auto" w:fill="FFFFFF"/>
        <w:ind w:firstLine="643" w:firstLineChars="200"/>
        <w:rPr>
          <w:rFonts w:hint="eastAsia" w:ascii="黑体" w:hAnsi="黑体" w:eastAsia="黑体" w:cs="黑体"/>
          <w:color w:val="000000"/>
          <w:kern w:val="0"/>
          <w:sz w:val="32"/>
          <w:szCs w:val="32"/>
        </w:rPr>
      </w:pPr>
      <w:r>
        <w:rPr>
          <w:rFonts w:hint="eastAsia" w:ascii="黑体" w:hAnsi="黑体" w:eastAsia="黑体" w:cs="黑体"/>
          <w:b/>
          <w:bCs/>
          <w:color w:val="000000"/>
          <w:kern w:val="0"/>
          <w:sz w:val="32"/>
          <w:szCs w:val="32"/>
        </w:rPr>
        <w:t>一、总体情况</w:t>
      </w:r>
    </w:p>
    <w:p w14:paraId="0BCBFE2C">
      <w:pPr>
        <w:widowControl/>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2024年，市重点工程处深入学习贯彻中央、省、市关于新时代政务公开工作的各项部署要求，扎实贯彻落实市委、市政府各项工作部署安排，聚焦重点工程领域政务公开工作，明确分工责任、对标先进典型、抓实全过程公开、提升公开实效，以政务公开工作成效有效服务重点工程建设，有力推动高质量发展。</w:t>
      </w:r>
    </w:p>
    <w:p w14:paraId="006F4C51">
      <w:pPr>
        <w:widowControl/>
        <w:numPr>
          <w:ilvl w:val="0"/>
          <w:numId w:val="0"/>
        </w:numPr>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lang w:val="en-US" w:eastAsia="zh-CN"/>
        </w:rPr>
        <w:t>（一）</w:t>
      </w:r>
      <w:r>
        <w:rPr>
          <w:rFonts w:hint="eastAsia" w:ascii="楷体_GB2312" w:hAnsi="楷体_GB2312" w:eastAsia="楷体_GB2312" w:cs="楷体_GB2312"/>
          <w:color w:val="000000"/>
          <w:kern w:val="0"/>
          <w:sz w:val="32"/>
          <w:szCs w:val="32"/>
        </w:rPr>
        <w:t>主动公开情况。</w:t>
      </w:r>
      <w:r>
        <w:rPr>
          <w:rFonts w:hint="eastAsia" w:ascii="仿宋_GB2312" w:hAnsi="仿宋_GB2312" w:eastAsia="仿宋_GB2312" w:cs="仿宋_GB2312"/>
          <w:b/>
          <w:bCs/>
          <w:color w:val="000000"/>
          <w:kern w:val="0"/>
          <w:sz w:val="32"/>
          <w:szCs w:val="32"/>
        </w:rPr>
        <w:t>一是</w:t>
      </w:r>
      <w:r>
        <w:rPr>
          <w:rFonts w:hint="eastAsia" w:ascii="仿宋_GB2312" w:hAnsi="仿宋_GB2312" w:eastAsia="仿宋_GB2312" w:cs="仿宋_GB2312"/>
          <w:b w:val="0"/>
          <w:bCs w:val="0"/>
          <w:color w:val="000000"/>
          <w:kern w:val="0"/>
          <w:sz w:val="32"/>
          <w:szCs w:val="32"/>
          <w:lang w:val="en-US" w:eastAsia="zh-CN"/>
        </w:rPr>
        <w:t>聚焦责任落实</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明确政务公开分管领导、责任科室和责任人员，细化年度重点工作清单，扎实开展政务公开专项提升行动，常态化落实公开要求，扎实推动各项举措落实到位，做好存在问题排查及整改提升各项工作，</w:t>
      </w:r>
      <w:r>
        <w:rPr>
          <w:rFonts w:hint="eastAsia" w:ascii="仿宋_GB2312" w:hAnsi="仿宋_GB2312" w:eastAsia="仿宋_GB2312" w:cs="仿宋_GB2312"/>
          <w:color w:val="000000"/>
          <w:kern w:val="0"/>
          <w:sz w:val="32"/>
          <w:szCs w:val="32"/>
          <w:lang w:eastAsia="zh-CN"/>
        </w:rPr>
        <w:t>202</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网站</w:t>
      </w:r>
      <w:r>
        <w:rPr>
          <w:rFonts w:hint="eastAsia" w:ascii="仿宋_GB2312" w:hAnsi="仿宋_GB2312" w:eastAsia="仿宋_GB2312" w:cs="仿宋_GB2312"/>
          <w:color w:val="000000"/>
          <w:kern w:val="0"/>
          <w:sz w:val="32"/>
          <w:szCs w:val="32"/>
        </w:rPr>
        <w:t>发布政务资</w:t>
      </w:r>
      <w:bookmarkStart w:id="0" w:name="_GoBack"/>
      <w:bookmarkEnd w:id="0"/>
      <w:r>
        <w:rPr>
          <w:rFonts w:hint="eastAsia" w:ascii="仿宋_GB2312" w:hAnsi="仿宋_GB2312" w:eastAsia="仿宋_GB2312" w:cs="仿宋_GB2312"/>
          <w:color w:val="000000"/>
          <w:kern w:val="0"/>
          <w:sz w:val="32"/>
          <w:szCs w:val="32"/>
        </w:rPr>
        <w:t>讯</w:t>
      </w:r>
      <w:r>
        <w:rPr>
          <w:rFonts w:hint="eastAsia" w:ascii="仿宋_GB2312" w:hAnsi="仿宋_GB2312" w:eastAsia="仿宋_GB2312" w:cs="仿宋_GB2312"/>
          <w:color w:val="000000"/>
          <w:kern w:val="0"/>
          <w:sz w:val="32"/>
          <w:szCs w:val="32"/>
          <w:lang w:val="en-US" w:eastAsia="zh-CN"/>
        </w:rPr>
        <w:t>336</w:t>
      </w:r>
      <w:r>
        <w:rPr>
          <w:rFonts w:hint="eastAsia" w:ascii="仿宋_GB2312" w:hAnsi="仿宋_GB2312" w:eastAsia="仿宋_GB2312" w:cs="仿宋_GB2312"/>
          <w:color w:val="000000"/>
          <w:kern w:val="0"/>
          <w:sz w:val="32"/>
          <w:szCs w:val="32"/>
        </w:rPr>
        <w:t>条，发布政务信息</w:t>
      </w:r>
      <w:r>
        <w:rPr>
          <w:rFonts w:hint="eastAsia" w:ascii="仿宋_GB2312" w:hAnsi="仿宋_GB2312" w:eastAsia="仿宋_GB2312" w:cs="仿宋_GB2312"/>
          <w:color w:val="000000"/>
          <w:kern w:val="0"/>
          <w:sz w:val="32"/>
          <w:szCs w:val="32"/>
          <w:lang w:val="en-US" w:eastAsia="zh-CN"/>
        </w:rPr>
        <w:t>606</w:t>
      </w:r>
      <w:r>
        <w:rPr>
          <w:rFonts w:hint="eastAsia" w:ascii="仿宋_GB2312" w:hAnsi="仿宋_GB2312" w:eastAsia="仿宋_GB2312" w:cs="仿宋_GB2312"/>
          <w:color w:val="000000"/>
          <w:kern w:val="0"/>
          <w:sz w:val="32"/>
          <w:szCs w:val="32"/>
        </w:rPr>
        <w:t>条。</w:t>
      </w:r>
      <w:r>
        <w:rPr>
          <w:rFonts w:hint="eastAsia" w:ascii="仿宋_GB2312" w:hAnsi="仿宋_GB2312" w:eastAsia="仿宋_GB2312" w:cs="仿宋_GB2312"/>
          <w:b/>
          <w:bCs/>
          <w:color w:val="000000"/>
          <w:kern w:val="0"/>
          <w:sz w:val="32"/>
          <w:szCs w:val="32"/>
          <w:lang w:val="en-US" w:eastAsia="zh-CN"/>
        </w:rPr>
        <w:t>二是</w:t>
      </w:r>
      <w:r>
        <w:rPr>
          <w:rFonts w:hint="eastAsia" w:ascii="仿宋_GB2312" w:hAnsi="仿宋_GB2312" w:eastAsia="仿宋_GB2312" w:cs="仿宋_GB2312"/>
          <w:color w:val="000000"/>
          <w:kern w:val="0"/>
          <w:sz w:val="32"/>
          <w:szCs w:val="32"/>
          <w:lang w:val="en-US" w:eastAsia="zh-CN"/>
        </w:rPr>
        <w:t>聚焦重点领域</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常态化做好重大工程建设项目合同履约情况与全生命周期公开，加强重点工程领域涉企业重要文件意见征集、信息发布、配套解读工作，按要求做好规范性文件梳理完善，提升重点工程领域信息公开覆盖面，年度发布违约责任通知书9件。</w:t>
      </w:r>
      <w:r>
        <w:rPr>
          <w:rFonts w:hint="eastAsia" w:ascii="仿宋_GB2312" w:hAnsi="仿宋_GB2312" w:eastAsia="仿宋_GB2312" w:cs="仿宋_GB2312"/>
          <w:b/>
          <w:bCs/>
          <w:color w:val="000000"/>
          <w:kern w:val="0"/>
          <w:sz w:val="32"/>
          <w:szCs w:val="32"/>
        </w:rPr>
        <w:t>三是</w:t>
      </w:r>
      <w:r>
        <w:rPr>
          <w:rFonts w:hint="eastAsia" w:ascii="仿宋_GB2312" w:hAnsi="仿宋_GB2312" w:eastAsia="仿宋_GB2312" w:cs="仿宋_GB2312"/>
          <w:b w:val="0"/>
          <w:bCs w:val="0"/>
          <w:color w:val="000000"/>
          <w:kern w:val="0"/>
          <w:sz w:val="32"/>
          <w:szCs w:val="32"/>
          <w:lang w:val="en-US" w:eastAsia="zh-CN"/>
        </w:rPr>
        <w:t>聚焦民生福祉。进一步发挥政务公开促宣传抓落实作用，加大对项目建设进展情况、封路等便民信息、质量安全管理督查检查、应急管理信息等的公开力度，更好提升公开实效</w:t>
      </w:r>
      <w:r>
        <w:rPr>
          <w:rFonts w:hint="eastAsia" w:ascii="仿宋_GB2312" w:hAnsi="仿宋_GB2312" w:eastAsia="仿宋_GB2312" w:cs="仿宋_GB2312"/>
          <w:color w:val="000000"/>
          <w:kern w:val="0"/>
          <w:sz w:val="32"/>
          <w:szCs w:val="32"/>
          <w:lang w:val="en-US" w:eastAsia="zh-CN"/>
        </w:rPr>
        <w:t>。</w:t>
      </w:r>
    </w:p>
    <w:p w14:paraId="68AAC457">
      <w:pPr>
        <w:widowControl/>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lang w:val="en-US" w:eastAsia="zh-CN" w:bidi="ar-SA"/>
        </w:rPr>
        <w:t>（二）依申请公开。</w:t>
      </w:r>
      <w:r>
        <w:rPr>
          <w:rFonts w:hint="eastAsia" w:ascii="仿宋_GB2312" w:hAnsi="仿宋_GB2312" w:eastAsia="仿宋_GB2312" w:cs="仿宋_GB2312"/>
          <w:color w:val="000000"/>
          <w:kern w:val="0"/>
          <w:sz w:val="32"/>
          <w:szCs w:val="32"/>
          <w:lang w:eastAsia="zh-CN"/>
        </w:rPr>
        <w:t>202</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市重点工程处</w:t>
      </w:r>
      <w:r>
        <w:rPr>
          <w:rFonts w:hint="eastAsia" w:ascii="仿宋_GB2312" w:hAnsi="仿宋_GB2312" w:eastAsia="仿宋_GB2312" w:cs="仿宋_GB2312"/>
          <w:color w:val="000000"/>
          <w:kern w:val="0"/>
          <w:sz w:val="32"/>
          <w:szCs w:val="32"/>
        </w:rPr>
        <w:t>严格</w:t>
      </w:r>
      <w:r>
        <w:rPr>
          <w:rFonts w:hint="eastAsia" w:ascii="仿宋_GB2312" w:hAnsi="仿宋_GB2312" w:eastAsia="仿宋_GB2312" w:cs="仿宋_GB2312"/>
          <w:color w:val="000000"/>
          <w:kern w:val="0"/>
          <w:sz w:val="32"/>
          <w:szCs w:val="32"/>
          <w:lang w:val="en-US" w:eastAsia="zh-CN"/>
        </w:rPr>
        <w:t>按照</w:t>
      </w:r>
      <w:r>
        <w:rPr>
          <w:rFonts w:hint="eastAsia" w:ascii="仿宋_GB2312" w:hAnsi="仿宋_GB2312" w:eastAsia="仿宋_GB2312" w:cs="仿宋_GB2312"/>
          <w:color w:val="000000"/>
          <w:kern w:val="0"/>
          <w:sz w:val="32"/>
          <w:szCs w:val="32"/>
        </w:rPr>
        <w:t>政府信息公开申请办理</w:t>
      </w:r>
      <w:r>
        <w:rPr>
          <w:rFonts w:hint="eastAsia" w:ascii="仿宋_GB2312" w:hAnsi="仿宋_GB2312" w:eastAsia="仿宋_GB2312" w:cs="仿宋_GB2312"/>
          <w:color w:val="000000"/>
          <w:kern w:val="0"/>
          <w:sz w:val="32"/>
          <w:szCs w:val="32"/>
          <w:lang w:val="en-US" w:eastAsia="zh-CN"/>
        </w:rPr>
        <w:t>相关程序，</w:t>
      </w:r>
      <w:r>
        <w:rPr>
          <w:rFonts w:hint="eastAsia" w:ascii="仿宋_GB2312" w:hAnsi="仿宋_GB2312" w:eastAsia="仿宋_GB2312" w:cs="仿宋_GB2312"/>
          <w:color w:val="000000"/>
          <w:kern w:val="0"/>
          <w:sz w:val="32"/>
          <w:szCs w:val="32"/>
        </w:rPr>
        <w:t>规范</w:t>
      </w:r>
      <w:r>
        <w:rPr>
          <w:rFonts w:hint="eastAsia" w:ascii="仿宋_GB2312" w:hAnsi="仿宋_GB2312" w:eastAsia="仿宋_GB2312" w:cs="仿宋_GB2312"/>
          <w:color w:val="000000"/>
          <w:kern w:val="0"/>
          <w:sz w:val="32"/>
          <w:szCs w:val="32"/>
          <w:lang w:val="en-US" w:eastAsia="zh-CN"/>
        </w:rPr>
        <w:t>办理依申请公开</w:t>
      </w:r>
      <w:r>
        <w:rPr>
          <w:rFonts w:hint="eastAsia" w:ascii="仿宋_GB2312" w:hAnsi="仿宋_GB2312" w:eastAsia="仿宋_GB2312" w:cs="仿宋_GB2312"/>
          <w:color w:val="000000"/>
          <w:kern w:val="0"/>
          <w:sz w:val="32"/>
          <w:szCs w:val="32"/>
        </w:rPr>
        <w:t>件，共受理线上线下依申请公开</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件，均按照规定规范答复并存档。</w:t>
      </w:r>
    </w:p>
    <w:p w14:paraId="1426A09D">
      <w:pPr>
        <w:widowControl/>
        <w:numPr>
          <w:ilvl w:val="0"/>
          <w:numId w:val="0"/>
        </w:numPr>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kern w:val="0"/>
          <w:sz w:val="32"/>
          <w:szCs w:val="32"/>
          <w:lang w:val="en-US"/>
        </w:rPr>
      </w:pPr>
      <w:r>
        <w:rPr>
          <w:rFonts w:hint="eastAsia" w:ascii="楷体_GB2312" w:hAnsi="楷体_GB2312" w:eastAsia="楷体_GB2312" w:cs="楷体_GB2312"/>
          <w:color w:val="000000"/>
          <w:kern w:val="0"/>
          <w:sz w:val="32"/>
          <w:szCs w:val="32"/>
          <w:lang w:val="en-US" w:eastAsia="zh-CN" w:bidi="ar-SA"/>
        </w:rPr>
        <w:t>（三）政府信息管理</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市重点工程处根据安排进一步做好公开文件格式统一规范，严格按相关规定执行信息公开制度各项要求，扎实履行发布前“三审”检查和保密审核责任，明确信息内容分级分类，及时做好规范性文件梳理和清理工作，2024年市重点工程处代市政府办起草规范性文件1件，清理废止、失效行政规范性文件2件。</w:t>
      </w:r>
    </w:p>
    <w:p w14:paraId="4F741B46">
      <w:pPr>
        <w:widowControl/>
        <w:shd w:val="clear" w:color="auto" w:fill="FFFFFF"/>
        <w:spacing w:before="0" w:beforeAutospacing="0" w:after="0" w:afterAutospacing="0"/>
        <w:ind w:firstLine="420"/>
        <w:jc w:val="both"/>
        <w:rPr>
          <w:rFonts w:hint="default" w:ascii="仿宋_GB2312" w:hAnsi="仿宋_GB2312" w:eastAsia="仿宋_GB2312" w:cs="仿宋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bidi="ar-SA"/>
        </w:rPr>
        <w:t>（四）平台建设情况</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根据统一安排进一步完善信息公开专题专栏情况，坚持门户网站、微信公众号一体建设，有效回应民生关切。</w:t>
      </w:r>
      <w:r>
        <w:rPr>
          <w:rFonts w:hint="eastAsia" w:ascii="仿宋_GB2312" w:hAnsi="仿宋_GB2312" w:eastAsia="仿宋_GB2312" w:cs="仿宋_GB2312"/>
          <w:color w:val="000000"/>
          <w:kern w:val="0"/>
          <w:sz w:val="32"/>
          <w:szCs w:val="32"/>
          <w:lang w:eastAsia="zh-CN"/>
        </w:rPr>
        <w:t>202</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年处微信</w:t>
      </w:r>
      <w:r>
        <w:rPr>
          <w:rFonts w:hint="eastAsia" w:ascii="仿宋_GB2312" w:hAnsi="仿宋_GB2312" w:eastAsia="仿宋_GB2312" w:cs="仿宋_GB2312"/>
          <w:color w:val="000000"/>
          <w:kern w:val="0"/>
          <w:sz w:val="32"/>
          <w:szCs w:val="32"/>
          <w:lang w:val="en-US" w:eastAsia="zh-CN"/>
        </w:rPr>
        <w:t>公众号</w:t>
      </w:r>
      <w:r>
        <w:rPr>
          <w:rFonts w:hint="eastAsia" w:ascii="仿宋_GB2312" w:hAnsi="仿宋_GB2312" w:eastAsia="仿宋_GB2312" w:cs="仿宋_GB2312"/>
          <w:color w:val="000000"/>
          <w:kern w:val="0"/>
          <w:sz w:val="32"/>
          <w:szCs w:val="32"/>
        </w:rPr>
        <w:t>发布信息</w:t>
      </w:r>
      <w:r>
        <w:rPr>
          <w:rFonts w:hint="eastAsia" w:ascii="仿宋_GB2312" w:hAnsi="仿宋_GB2312" w:eastAsia="仿宋_GB2312" w:cs="仿宋_GB2312"/>
          <w:color w:val="000000"/>
          <w:kern w:val="0"/>
          <w:sz w:val="32"/>
          <w:szCs w:val="32"/>
          <w:lang w:val="en-US" w:eastAsia="zh-CN"/>
        </w:rPr>
        <w:t>468篇</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及时办理“民呼快应”批示件1件；通过市12345 政务服务便民热线平台办结269件；配合参加《政风行风热线》3次，为群众对重点工程信息进行答疑解惑，有力回应群众关切。持续做好重大建设项目专栏的信息公开和政策文件标签梳理相关工作。</w:t>
      </w:r>
    </w:p>
    <w:p w14:paraId="379C4C07">
      <w:pPr>
        <w:widowControl/>
        <w:shd w:val="clear" w:color="auto" w:fill="FFFFFF"/>
        <w:spacing w:before="0" w:beforeAutospacing="0" w:after="0" w:afterAutospacing="0"/>
        <w:ind w:firstLine="420"/>
        <w:jc w:val="both"/>
        <w:rPr>
          <w:rFonts w:hint="default" w:ascii="仿宋_GB2312" w:hAnsi="仿宋_GB2312" w:eastAsia="仿宋_GB2312" w:cs="仿宋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bidi="ar-SA"/>
        </w:rPr>
        <w:t>（五）监督保障</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常态化调度部署信息公开工作，将考核情况纳入年度重点工作之中，组织开展年度工作培训1次，扎实做好跟踪督促和整改提升各项工作，有效保障年度各项工作目标任务落实到位。</w:t>
      </w:r>
    </w:p>
    <w:p w14:paraId="5F0ED4AA">
      <w:pPr>
        <w:widowControl/>
        <w:shd w:val="clear" w:color="auto" w:fill="FFFFFF"/>
        <w:ind w:firstLine="480"/>
        <w:rPr>
          <w:rFonts w:hint="eastAsia" w:ascii="黑体" w:hAnsi="黑体" w:eastAsia="黑体" w:cs="黑体"/>
          <w:b/>
          <w:bCs/>
          <w:color w:val="000000"/>
          <w:kern w:val="0"/>
          <w:sz w:val="32"/>
          <w:szCs w:val="32"/>
          <w:lang w:val="en-US" w:eastAsia="zh-CN"/>
        </w:rPr>
      </w:pPr>
      <w:r>
        <w:rPr>
          <w:rFonts w:hint="eastAsia" w:ascii="黑体" w:hAnsi="黑体" w:eastAsia="黑体" w:cs="黑体"/>
          <w:b/>
          <w:bCs/>
          <w:color w:val="000000"/>
          <w:kern w:val="0"/>
          <w:sz w:val="32"/>
          <w:szCs w:val="32"/>
          <w:lang w:val="en-US" w:eastAsia="zh-CN"/>
        </w:rPr>
        <w:t>二、主动公开政府信息情况</w:t>
      </w:r>
    </w:p>
    <w:tbl>
      <w:tblPr>
        <w:tblStyle w:val="2"/>
        <w:tblW w:w="9740" w:type="dxa"/>
        <w:jc w:val="center"/>
        <w:tblLayout w:type="fixed"/>
        <w:tblCellMar>
          <w:top w:w="0" w:type="dxa"/>
          <w:left w:w="0" w:type="dxa"/>
          <w:bottom w:w="0" w:type="dxa"/>
          <w:right w:w="0" w:type="dxa"/>
        </w:tblCellMar>
      </w:tblPr>
      <w:tblGrid>
        <w:gridCol w:w="2435"/>
        <w:gridCol w:w="2435"/>
        <w:gridCol w:w="2435"/>
        <w:gridCol w:w="2435"/>
      </w:tblGrid>
      <w:tr w14:paraId="4A3A20D0">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00ABE2C6">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第二十条第（一）项</w:t>
            </w:r>
          </w:p>
        </w:tc>
      </w:tr>
      <w:tr w14:paraId="24479D8B">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49B50D5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11E2BDCB">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22FBAC35">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3E52C99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现行有效件数</w:t>
            </w:r>
          </w:p>
        </w:tc>
      </w:tr>
      <w:tr w14:paraId="1C530D41">
        <w:tblPrEx>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11F1B17A">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14:paraId="07C475C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c>
          <w:tcPr>
            <w:tcW w:w="2435" w:type="dxa"/>
            <w:tcBorders>
              <w:top w:val="nil"/>
              <w:left w:val="nil"/>
              <w:bottom w:val="single" w:color="auto" w:sz="8" w:space="0"/>
              <w:right w:val="single" w:color="auto" w:sz="8" w:space="0"/>
            </w:tcBorders>
            <w:tcMar>
              <w:left w:w="57" w:type="dxa"/>
              <w:right w:w="57" w:type="dxa"/>
            </w:tcMar>
            <w:vAlign w:val="center"/>
          </w:tcPr>
          <w:p w14:paraId="71FB825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c>
          <w:tcPr>
            <w:tcW w:w="2435" w:type="dxa"/>
            <w:tcBorders>
              <w:top w:val="nil"/>
              <w:left w:val="nil"/>
              <w:bottom w:val="single" w:color="auto" w:sz="8" w:space="0"/>
              <w:right w:val="single" w:color="auto" w:sz="8" w:space="0"/>
            </w:tcBorders>
            <w:tcMar>
              <w:left w:w="57" w:type="dxa"/>
              <w:right w:w="57" w:type="dxa"/>
            </w:tcMar>
            <w:vAlign w:val="center"/>
          </w:tcPr>
          <w:p w14:paraId="57DB4A65">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14:paraId="73CF532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646680B">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14:paraId="22186BA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7E3BDC1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28DEAC01">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14:paraId="250CA496">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05D89952">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第二十条第（五）项</w:t>
            </w:r>
          </w:p>
        </w:tc>
      </w:tr>
      <w:tr w14:paraId="32341B77">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02C56C16">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6506C838">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14:paraId="231B7536">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6A11ACF0">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0CCC23DC">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1"/>
                <w:szCs w:val="21"/>
                <w:lang w:val="en-US" w:eastAsia="zh-CN"/>
              </w:rPr>
              <w:t>0</w:t>
            </w:r>
          </w:p>
        </w:tc>
      </w:tr>
      <w:tr w14:paraId="255AA415">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0079CF6D">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第二十条第（六）项</w:t>
            </w:r>
          </w:p>
        </w:tc>
      </w:tr>
      <w:tr w14:paraId="5620F11D">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05CD40A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14:paraId="38803BB3">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14:paraId="6D7C94A5">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6F926173">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346622F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r>
      <w:tr w14:paraId="6481808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076BCB0F">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192C7EB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r>
      <w:tr w14:paraId="56E0911B">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0CECD441">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第二十条第（八）项</w:t>
            </w:r>
          </w:p>
        </w:tc>
      </w:tr>
      <w:tr w14:paraId="5215B8D1">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8ED1FF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26D4DBF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本年收费金额（单位：万元）</w:t>
            </w:r>
          </w:p>
        </w:tc>
      </w:tr>
      <w:tr w14:paraId="7AB4B989">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5E6B4A6E">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4FCB7818">
            <w:pPr>
              <w:jc w:val="center"/>
              <w:rPr>
                <w:rFonts w:hint="eastAsia" w:ascii="宋体" w:hAnsi="Times New Roman" w:eastAsia="仿宋_GB2312" w:cs="Times New Roman"/>
                <w:color w:val="000000"/>
                <w:sz w:val="24"/>
                <w:szCs w:val="24"/>
                <w:lang w:val="en-US" w:eastAsia="zh-CN"/>
              </w:rPr>
            </w:pPr>
            <w:r>
              <w:rPr>
                <w:rFonts w:hint="eastAsia" w:ascii="宋体" w:hAnsi="Times New Roman" w:eastAsia="仿宋_GB2312" w:cs="Times New Roman"/>
                <w:color w:val="000000"/>
                <w:sz w:val="24"/>
                <w:szCs w:val="24"/>
                <w:lang w:val="en-US" w:eastAsia="zh-CN"/>
              </w:rPr>
              <w:t>0</w:t>
            </w:r>
          </w:p>
        </w:tc>
      </w:tr>
    </w:tbl>
    <w:p w14:paraId="4712A053">
      <w:pPr>
        <w:widowControl/>
        <w:jc w:val="left"/>
        <w:rPr>
          <w:rFonts w:ascii="仿宋_GB2312" w:hAnsi="Times New Roman" w:eastAsia="仿宋_GB2312" w:cs="Times New Roman"/>
          <w:color w:val="000000"/>
          <w:sz w:val="32"/>
          <w:szCs w:val="32"/>
        </w:rPr>
      </w:pPr>
    </w:p>
    <w:p w14:paraId="4EE56765">
      <w:pPr>
        <w:widowControl/>
        <w:jc w:val="left"/>
        <w:rPr>
          <w:rFonts w:ascii="仿宋_GB2312" w:hAnsi="Times New Roman" w:eastAsia="仿宋_GB2312" w:cs="Times New Roman"/>
          <w:color w:val="000000"/>
          <w:sz w:val="32"/>
          <w:szCs w:val="32"/>
        </w:rPr>
      </w:pPr>
    </w:p>
    <w:p w14:paraId="12B2E887">
      <w:pPr>
        <w:widowControl/>
        <w:jc w:val="left"/>
        <w:rPr>
          <w:rFonts w:ascii="仿宋_GB2312" w:hAnsi="Times New Roman" w:eastAsia="仿宋_GB2312" w:cs="Times New Roman"/>
          <w:color w:val="000000"/>
          <w:sz w:val="32"/>
          <w:szCs w:val="32"/>
        </w:rPr>
      </w:pPr>
    </w:p>
    <w:p w14:paraId="65F8BBB4">
      <w:pPr>
        <w:widowControl/>
        <w:shd w:val="clear" w:color="auto" w:fill="FFFFFF"/>
        <w:spacing w:before="0" w:beforeAutospacing="0" w:after="0" w:afterAutospacing="0"/>
        <w:ind w:firstLine="420"/>
        <w:jc w:val="both"/>
        <w:rPr>
          <w:rFonts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shd w:val="clear" w:color="auto" w:fill="FFFFFF"/>
          <w:lang w:val="en-US" w:eastAsia="zh-CN" w:bidi="ar-SA"/>
        </w:rPr>
        <w:t>三、收到和处理政府信息公开申请情况</w:t>
      </w:r>
    </w:p>
    <w:p w14:paraId="162A1D42">
      <w:pPr>
        <w:widowControl/>
        <w:shd w:val="clear" w:color="auto" w:fill="FFFFFF"/>
        <w:spacing w:before="0" w:beforeAutospacing="0" w:after="0" w:afterAutospacing="0"/>
        <w:ind w:firstLine="420"/>
        <w:jc w:val="both"/>
        <w:rPr>
          <w:rFonts w:ascii="宋体" w:hAnsi="宋体" w:eastAsia="宋体" w:cs="宋体"/>
          <w:color w:val="000000"/>
          <w:kern w:val="0"/>
          <w:sz w:val="24"/>
          <w:szCs w:val="24"/>
          <w:lang w:val="en-US" w:eastAsia="zh-CN" w:bidi="ar-SA"/>
        </w:rPr>
      </w:pPr>
    </w:p>
    <w:tbl>
      <w:tblPr>
        <w:tblStyle w:val="2"/>
        <w:tblW w:w="97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14:paraId="1DED3D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68066449">
            <w:pPr>
              <w:widowControl/>
              <w:jc w:val="left"/>
              <w:rPr>
                <w:rFonts w:ascii="仿宋_GB2312" w:hAnsi="Times New Roman" w:eastAsia="仿宋_GB2312" w:cs="Times New Roman"/>
                <w:color w:val="000000"/>
                <w:sz w:val="32"/>
                <w:szCs w:val="32"/>
              </w:rPr>
            </w:pPr>
            <w:r>
              <w:rPr>
                <w:rFonts w:ascii="楷体" w:hAnsi="楷体" w:eastAsia="楷体" w:cs="楷体"/>
                <w:color w:val="000000"/>
                <w:kern w:val="0"/>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left w:w="57" w:type="dxa"/>
              <w:right w:w="57" w:type="dxa"/>
            </w:tcMar>
            <w:vAlign w:val="center"/>
          </w:tcPr>
          <w:p w14:paraId="573969F8">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申请人情况</w:t>
            </w:r>
          </w:p>
        </w:tc>
      </w:tr>
      <w:tr w14:paraId="469F14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5E3D0D10">
            <w:pPr>
              <w:rPr>
                <w:rFonts w:ascii="宋体" w:hAnsi="Times New Roman" w:eastAsia="仿宋_GB2312" w:cs="Times New Roman"/>
                <w:color w:val="000000"/>
                <w:sz w:val="24"/>
                <w:szCs w:val="24"/>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14:paraId="58B5CAA7">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5B891897">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法人或其他组织</w:t>
            </w:r>
          </w:p>
        </w:tc>
        <w:tc>
          <w:tcPr>
            <w:tcW w:w="688" w:type="dxa"/>
            <w:vMerge w:val="restart"/>
            <w:tcBorders>
              <w:top w:val="single" w:color="auto" w:sz="8" w:space="0"/>
              <w:left w:val="nil"/>
              <w:bottom w:val="outset" w:color="auto" w:sz="8" w:space="0"/>
              <w:right w:val="single" w:color="auto" w:sz="8" w:space="0"/>
            </w:tcBorders>
            <w:tcMar>
              <w:left w:w="108" w:type="dxa"/>
              <w:right w:w="108" w:type="dxa"/>
            </w:tcMar>
            <w:vAlign w:val="center"/>
          </w:tcPr>
          <w:p w14:paraId="1E6257DA">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14:paraId="1FB851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0F9CD031">
            <w:pPr>
              <w:rPr>
                <w:rFonts w:ascii="宋体" w:hAnsi="Times New Roman" w:eastAsia="仿宋_GB2312" w:cs="Times New Roman"/>
                <w:color w:val="000000"/>
                <w:sz w:val="24"/>
                <w:szCs w:val="24"/>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14:paraId="1BAACE24">
            <w:pPr>
              <w:rPr>
                <w:rFonts w:ascii="宋体" w:hAnsi="Times New Roman" w:eastAsia="仿宋_GB2312" w:cs="Times New Roman"/>
                <w:color w:val="000000"/>
                <w:sz w:val="24"/>
                <w:szCs w:val="24"/>
              </w:rPr>
            </w:pPr>
          </w:p>
        </w:tc>
        <w:tc>
          <w:tcPr>
            <w:tcW w:w="688" w:type="dxa"/>
            <w:tcBorders>
              <w:top w:val="nil"/>
              <w:left w:val="nil"/>
              <w:bottom w:val="single" w:color="auto" w:sz="8" w:space="0"/>
              <w:right w:val="single" w:color="auto" w:sz="8" w:space="0"/>
            </w:tcBorders>
            <w:tcMar>
              <w:left w:w="108" w:type="dxa"/>
              <w:right w:w="108" w:type="dxa"/>
            </w:tcMar>
            <w:vAlign w:val="center"/>
          </w:tcPr>
          <w:p w14:paraId="380E2047">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商业</w:t>
            </w:r>
          </w:p>
          <w:p w14:paraId="2FF6F5A2">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企业</w:t>
            </w:r>
          </w:p>
        </w:tc>
        <w:tc>
          <w:tcPr>
            <w:tcW w:w="688" w:type="dxa"/>
            <w:tcBorders>
              <w:top w:val="nil"/>
              <w:left w:val="nil"/>
              <w:bottom w:val="single" w:color="auto" w:sz="8" w:space="0"/>
              <w:right w:val="single" w:color="auto" w:sz="8" w:space="0"/>
            </w:tcBorders>
            <w:tcMar>
              <w:left w:w="108" w:type="dxa"/>
              <w:right w:w="108" w:type="dxa"/>
            </w:tcMar>
            <w:vAlign w:val="center"/>
          </w:tcPr>
          <w:p w14:paraId="23C9AAA8">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科研</w:t>
            </w:r>
          </w:p>
          <w:p w14:paraId="11187E8B">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738CD1E8">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社会公益组织</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430303C4">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法律服务机构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42E6C796">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p>
        </w:tc>
        <w:tc>
          <w:tcPr>
            <w:tcW w:w="688" w:type="dxa"/>
            <w:vMerge w:val="continue"/>
            <w:tcBorders>
              <w:top w:val="single" w:color="auto" w:sz="8" w:space="0"/>
              <w:left w:val="nil"/>
              <w:bottom w:val="outset" w:color="auto" w:sz="8" w:space="0"/>
              <w:right w:val="single" w:color="auto" w:sz="8" w:space="0"/>
            </w:tcBorders>
            <w:tcMar>
              <w:left w:w="108" w:type="dxa"/>
              <w:right w:w="108" w:type="dxa"/>
            </w:tcMar>
            <w:vAlign w:val="center"/>
          </w:tcPr>
          <w:p w14:paraId="7F0BDE0D">
            <w:pPr>
              <w:rPr>
                <w:rFonts w:ascii="宋体" w:hAnsi="Times New Roman" w:eastAsia="仿宋_GB2312" w:cs="Times New Roman"/>
                <w:color w:val="000000"/>
                <w:sz w:val="24"/>
                <w:szCs w:val="24"/>
              </w:rPr>
            </w:pPr>
          </w:p>
        </w:tc>
      </w:tr>
      <w:tr w14:paraId="1FC22D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13E50EB2">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6A5DBE4A">
            <w:pPr>
              <w:widowControl/>
              <w:jc w:val="center"/>
              <w:rPr>
                <w:rFonts w:hint="default"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3</w:t>
            </w:r>
          </w:p>
        </w:tc>
        <w:tc>
          <w:tcPr>
            <w:tcW w:w="688" w:type="dxa"/>
            <w:tcBorders>
              <w:top w:val="nil"/>
              <w:left w:val="nil"/>
              <w:bottom w:val="single" w:color="auto" w:sz="8" w:space="0"/>
              <w:right w:val="single" w:color="auto" w:sz="8" w:space="0"/>
            </w:tcBorders>
            <w:tcMar>
              <w:left w:w="57" w:type="dxa"/>
              <w:right w:w="57" w:type="dxa"/>
            </w:tcMar>
            <w:vAlign w:val="center"/>
          </w:tcPr>
          <w:p w14:paraId="1D8E609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020E9230">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F986220">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2B8927D">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E0831A0">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30D7DE19">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3</w:t>
            </w:r>
          </w:p>
        </w:tc>
      </w:tr>
      <w:tr w14:paraId="56A6C9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49D2B2AE">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7FD09BD4">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6DE4B77">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7E72694E">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22A9B37">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A431A87">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87A1F0B">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75B6227F">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585131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tcMar>
              <w:left w:w="57" w:type="dxa"/>
              <w:right w:w="57" w:type="dxa"/>
            </w:tcMar>
            <w:vAlign w:val="center"/>
          </w:tcPr>
          <w:p w14:paraId="05D6C471">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三、本年度办理结果</w:t>
            </w: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66FA06A2">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14:paraId="44E0D791">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2</w:t>
            </w:r>
          </w:p>
        </w:tc>
        <w:tc>
          <w:tcPr>
            <w:tcW w:w="688" w:type="dxa"/>
            <w:tcBorders>
              <w:top w:val="nil"/>
              <w:left w:val="nil"/>
              <w:bottom w:val="single" w:color="auto" w:sz="8" w:space="0"/>
              <w:right w:val="single" w:color="auto" w:sz="8" w:space="0"/>
            </w:tcBorders>
            <w:tcMar>
              <w:left w:w="57" w:type="dxa"/>
              <w:right w:w="57" w:type="dxa"/>
            </w:tcMar>
            <w:vAlign w:val="center"/>
          </w:tcPr>
          <w:p w14:paraId="0CC2FDC4">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73E2649C">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F02E5EB">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CA7921">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5938BCE">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single" w:color="auto" w:sz="8" w:space="0"/>
              <w:left w:val="nil"/>
              <w:bottom w:val="single" w:color="auto" w:sz="8" w:space="0"/>
              <w:right w:val="single" w:color="auto" w:sz="8" w:space="0"/>
            </w:tcBorders>
            <w:tcMar>
              <w:left w:w="57" w:type="dxa"/>
              <w:right w:w="57" w:type="dxa"/>
            </w:tcMar>
          </w:tcPr>
          <w:p w14:paraId="184D733D">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2</w:t>
            </w:r>
          </w:p>
        </w:tc>
      </w:tr>
      <w:tr w14:paraId="7EC6621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0"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E90ECAB">
            <w:pPr>
              <w:rPr>
                <w:rFonts w:ascii="宋体"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5D2D62B2">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（二）部分公开</w:t>
            </w:r>
            <w:r>
              <w:rPr>
                <w:rFonts w:hint="eastAsia" w:ascii="楷体" w:hAnsi="楷体" w:eastAsia="楷体" w:cs="楷体"/>
                <w:color w:val="000000"/>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14:paraId="713BCCE7">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F16991B">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7A68464E">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694E324">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0960409">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67D0643">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486BDA1A">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1CC6D2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B664C96">
            <w:pP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643B6941">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（三）不予公开</w:t>
            </w:r>
          </w:p>
        </w:tc>
        <w:tc>
          <w:tcPr>
            <w:tcW w:w="3219" w:type="dxa"/>
            <w:tcBorders>
              <w:top w:val="nil"/>
              <w:left w:val="nil"/>
              <w:bottom w:val="single" w:color="auto" w:sz="8" w:space="0"/>
              <w:right w:val="single" w:color="auto" w:sz="8" w:space="0"/>
            </w:tcBorders>
            <w:tcMar>
              <w:left w:w="57" w:type="dxa"/>
              <w:right w:w="57" w:type="dxa"/>
            </w:tcMar>
          </w:tcPr>
          <w:p w14:paraId="286D6A0C">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14:paraId="3E437F0E">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A986925">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4F927568">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7B9A3F0">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93AD8BD">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2D62BF9">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single" w:color="auto" w:sz="8" w:space="0"/>
              <w:left w:val="nil"/>
              <w:bottom w:val="single" w:color="auto" w:sz="8" w:space="0"/>
              <w:right w:val="single" w:color="auto" w:sz="8" w:space="0"/>
            </w:tcBorders>
            <w:tcMar>
              <w:left w:w="57" w:type="dxa"/>
              <w:right w:w="57" w:type="dxa"/>
            </w:tcMar>
          </w:tcPr>
          <w:p w14:paraId="34597BE5">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655B0B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335F17A">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1DF9D027">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3F4DC005">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14:paraId="3DF37800">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1B30289">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0154C780">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5B98E4E">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C26B80C">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7AE47F6">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2C80B2EC">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34A19F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CDEAE8C">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76A1012E">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1B4A83D">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14:paraId="61513EAD">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9E2746">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3118B7B8">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63AFE66">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E1572C7">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F0F867F">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4B315AA9">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28AB5B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DED9E7E">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3EBF29D6">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2F23000D">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14:paraId="01170A30">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68D3051">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3894272C">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E8B8528">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8854502">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867C1B5">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77778262">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27B01C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CF944D9">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19E9B1BE">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2F558A36">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14:paraId="7E653CA4">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7E0E418">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171EC7B6">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D5A7E27">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105DC65">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5F54137">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648D4C8E">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0F26C5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7AE8C96">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73E95747">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6BE43F58">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14:paraId="0E48602A">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5C04F57">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282A9F35">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2A55841">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23F2A1E">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EF212FF">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1D14340D">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412FCA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FD0C7C6">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2236358">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2C9DB2CD">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14:paraId="033FB094">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2FC4093">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74E6B4A9">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4C86AAF">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557B799">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20033B5">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0901EC7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r>
      <w:tr w14:paraId="7E2FBB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E1CFE1A">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756BB094">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321B11A">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14:paraId="7E92C0AA">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1123F45">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1B69141E">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BA3978C">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189A086">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72728F4">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584B4A1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r>
      <w:tr w14:paraId="25CFADE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5382542">
            <w:pP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7F9A9BF1">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（四）无法提供</w:t>
            </w:r>
          </w:p>
        </w:tc>
        <w:tc>
          <w:tcPr>
            <w:tcW w:w="3219" w:type="dxa"/>
            <w:tcBorders>
              <w:top w:val="nil"/>
              <w:left w:val="nil"/>
              <w:bottom w:val="single" w:color="auto" w:sz="8" w:space="0"/>
              <w:right w:val="single" w:color="auto" w:sz="8" w:space="0"/>
            </w:tcBorders>
            <w:tcMar>
              <w:left w:w="57" w:type="dxa"/>
              <w:right w:w="57" w:type="dxa"/>
            </w:tcMar>
          </w:tcPr>
          <w:p w14:paraId="259BA7EB">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14:paraId="09BC93FB">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14:paraId="1BA0CE7C">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322EB3A3">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D429474">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F94ADE1">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374666C">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68CF2009">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1</w:t>
            </w:r>
          </w:p>
        </w:tc>
      </w:tr>
      <w:tr w14:paraId="7D849B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8CDACE9">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E758853">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5AD4B35">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14:paraId="0C925A28">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A47BE81">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1C6FB8DB">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2E7B9D3">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E04B6F3">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17EC126">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2DE8E3EE">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220919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136317D">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48E2B752">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4B780651">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14:paraId="7282D4F4">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AB959B2">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2BA6AF00">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19B5532">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94C2242">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540DD09">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4C7E563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r>
      <w:tr w14:paraId="42619A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0E8D7E2">
            <w:pP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7C34329F">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（五）不予处理</w:t>
            </w:r>
          </w:p>
        </w:tc>
        <w:tc>
          <w:tcPr>
            <w:tcW w:w="3219" w:type="dxa"/>
            <w:tcBorders>
              <w:top w:val="nil"/>
              <w:left w:val="nil"/>
              <w:bottom w:val="single" w:color="auto" w:sz="8" w:space="0"/>
              <w:right w:val="single" w:color="auto" w:sz="8" w:space="0"/>
            </w:tcBorders>
            <w:tcMar>
              <w:left w:w="57" w:type="dxa"/>
              <w:right w:w="57" w:type="dxa"/>
            </w:tcMar>
          </w:tcPr>
          <w:p w14:paraId="5DEE3FF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14:paraId="17222231">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A856E66">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73526EDF">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F3F82CF">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57731BD">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49ED7BC">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6DA8E793">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6BE974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4B1577C">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4FA40D0A">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61936176">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14:paraId="511590D3">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5A3991F">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0CFFC256">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A76F22D">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D2FD012">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007F202">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186E7564">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1077A5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342DA06">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7338ADEE">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2FFE3AD8">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14:paraId="11032C10">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F676000">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2D6E2496">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9F04CC7">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1088E84">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CBE995D">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65C6CFB8">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326EF3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677BC1B">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1126E94">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35EA3B49">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14:paraId="53AD9CE4">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A723E78">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4BB2881D">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C49812B">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CCFB39D">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F734F33">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12C1D287">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020249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3C72371">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C1B66AE">
            <w:pPr>
              <w:rPr>
                <w:rFonts w:ascii="宋体" w:hAnsi="Times New Roman" w:eastAsia="仿宋_GB2312" w:cs="Times New Roman"/>
                <w:color w:val="000000"/>
                <w:sz w:val="24"/>
                <w:szCs w:val="24"/>
              </w:rPr>
            </w:pPr>
          </w:p>
        </w:tc>
        <w:tc>
          <w:tcPr>
            <w:tcW w:w="3219" w:type="dxa"/>
            <w:tcBorders>
              <w:top w:val="nil"/>
              <w:left w:val="nil"/>
              <w:bottom w:val="outset" w:color="auto" w:sz="8" w:space="0"/>
              <w:right w:val="single" w:color="auto" w:sz="8" w:space="0"/>
            </w:tcBorders>
            <w:tcMar>
              <w:left w:w="57" w:type="dxa"/>
              <w:right w:w="57" w:type="dxa"/>
            </w:tcMar>
            <w:vAlign w:val="center"/>
          </w:tcPr>
          <w:p w14:paraId="2F9BCD48">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14:paraId="57C87E74">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2BFDA28B">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outset" w:color="auto" w:sz="8" w:space="0"/>
              <w:right w:val="single" w:color="auto" w:sz="8" w:space="0"/>
            </w:tcBorders>
            <w:tcMar>
              <w:left w:w="57" w:type="dxa"/>
              <w:right w:w="57" w:type="dxa"/>
            </w:tcMar>
            <w:vAlign w:val="center"/>
          </w:tcPr>
          <w:p w14:paraId="2B1D2F2B">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050FA9EE">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3F92EC99">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53D255C1">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outset" w:color="auto" w:sz="8" w:space="0"/>
              <w:right w:val="single" w:color="auto" w:sz="8" w:space="0"/>
            </w:tcBorders>
            <w:tcMar>
              <w:left w:w="57" w:type="dxa"/>
              <w:right w:w="57" w:type="dxa"/>
            </w:tcMar>
            <w:vAlign w:val="center"/>
          </w:tcPr>
          <w:p w14:paraId="2CB1C70C">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r>
      <w:tr w14:paraId="586702E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60D3275">
            <w:pPr>
              <w:rPr>
                <w:rFonts w:ascii="宋体" w:hAnsi="Times New Roman" w:eastAsia="仿宋_GB2312" w:cs="Times New Roman"/>
                <w:color w:val="000000"/>
                <w:sz w:val="24"/>
                <w:szCs w:val="24"/>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14:paraId="598C8CBA">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（六）其他处理</w:t>
            </w:r>
          </w:p>
        </w:tc>
        <w:tc>
          <w:tcPr>
            <w:tcW w:w="3219" w:type="dxa"/>
            <w:tcBorders>
              <w:top w:val="nil"/>
              <w:left w:val="nil"/>
              <w:bottom w:val="single" w:color="auto" w:sz="8" w:space="0"/>
              <w:right w:val="single" w:color="auto" w:sz="8" w:space="0"/>
            </w:tcBorders>
            <w:tcMar>
              <w:left w:w="57" w:type="dxa"/>
              <w:right w:w="57" w:type="dxa"/>
            </w:tcMar>
            <w:vAlign w:val="center"/>
          </w:tcPr>
          <w:p w14:paraId="56EB4EB2">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492AD0BF">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90AAFC6">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044B6FDE">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71C644F">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1D58560">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1981FFF">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4581E4F6">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r>
      <w:tr w14:paraId="739B4F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090C567">
            <w:pPr>
              <w:rPr>
                <w:rFonts w:ascii="宋体"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32C11EFF">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14:paraId="0DD9395A">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43862F72">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9AC60D6">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4294737F">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D6234A8">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E99B888">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C7A5A95">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2ED34C08">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7002ED0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81DBB1D">
            <w:pPr>
              <w:rPr>
                <w:rFonts w:ascii="宋体"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25C11721">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14:paraId="39F5D39A">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3.其他</w:t>
            </w:r>
          </w:p>
        </w:tc>
        <w:tc>
          <w:tcPr>
            <w:tcW w:w="688" w:type="dxa"/>
            <w:tcBorders>
              <w:top w:val="nil"/>
              <w:left w:val="nil"/>
              <w:bottom w:val="single" w:color="auto" w:sz="8" w:space="0"/>
              <w:right w:val="single" w:color="auto" w:sz="8" w:space="0"/>
            </w:tcBorders>
            <w:tcMar>
              <w:left w:w="57" w:type="dxa"/>
              <w:right w:w="57" w:type="dxa"/>
            </w:tcMar>
            <w:vAlign w:val="center"/>
          </w:tcPr>
          <w:p w14:paraId="0D1CB311">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F7D34FB">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6754E0EF">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5D119A4">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21E37C9">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D9D36B1">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3926914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0C8AC3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B237920">
            <w:pPr>
              <w:rPr>
                <w:rFonts w:ascii="宋体"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398014CC">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（七）总计</w:t>
            </w:r>
          </w:p>
        </w:tc>
        <w:tc>
          <w:tcPr>
            <w:tcW w:w="688" w:type="dxa"/>
            <w:tcBorders>
              <w:top w:val="nil"/>
              <w:left w:val="nil"/>
              <w:bottom w:val="single" w:color="auto" w:sz="8" w:space="0"/>
              <w:right w:val="single" w:color="auto" w:sz="8" w:space="0"/>
            </w:tcBorders>
            <w:tcMar>
              <w:left w:w="57" w:type="dxa"/>
              <w:right w:w="57" w:type="dxa"/>
            </w:tcMar>
            <w:vAlign w:val="center"/>
          </w:tcPr>
          <w:p w14:paraId="5527CEA9">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3</w:t>
            </w:r>
          </w:p>
        </w:tc>
        <w:tc>
          <w:tcPr>
            <w:tcW w:w="688" w:type="dxa"/>
            <w:tcBorders>
              <w:top w:val="nil"/>
              <w:left w:val="nil"/>
              <w:bottom w:val="single" w:color="auto" w:sz="8" w:space="0"/>
              <w:right w:val="single" w:color="auto" w:sz="8" w:space="0"/>
            </w:tcBorders>
            <w:tcMar>
              <w:left w:w="57" w:type="dxa"/>
              <w:right w:w="57" w:type="dxa"/>
            </w:tcMar>
            <w:vAlign w:val="center"/>
          </w:tcPr>
          <w:p w14:paraId="24AFDB82">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843CDB2">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741A570D">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3FAEDCD">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915085B">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062E5EA">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3</w:t>
            </w:r>
          </w:p>
        </w:tc>
      </w:tr>
      <w:tr w14:paraId="375944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5722767F">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center"/>
          </w:tcPr>
          <w:p w14:paraId="73B24267">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9D20E1A">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E2C64B8">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90E322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554F8906">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74CC49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3A00955D">
            <w:pPr>
              <w:jc w:val="center"/>
              <w:rPr>
                <w:rFonts w:hint="eastAsia" w:ascii="宋体" w:hAnsi="Times New Roman" w:eastAsia="仿宋_GB2312" w:cs="Times New Roman"/>
                <w:color w:val="000000"/>
                <w:sz w:val="24"/>
                <w:szCs w:val="24"/>
                <w:lang w:val="en-US" w:eastAsia="zh-CN"/>
              </w:rPr>
            </w:pPr>
            <w:r>
              <w:rPr>
                <w:rFonts w:hint="eastAsia" w:ascii="宋体" w:hAnsi="Times New Roman" w:eastAsia="仿宋_GB2312" w:cs="Times New Roman"/>
                <w:color w:val="000000"/>
                <w:sz w:val="24"/>
                <w:szCs w:val="24"/>
                <w:lang w:val="en-US" w:eastAsia="zh-CN"/>
              </w:rPr>
              <w:t>0</w:t>
            </w:r>
          </w:p>
        </w:tc>
      </w:tr>
    </w:tbl>
    <w:p w14:paraId="269AED4B">
      <w:pPr>
        <w:widowControl/>
        <w:shd w:val="clear" w:color="auto" w:fill="FFFFFF"/>
        <w:jc w:val="center"/>
        <w:rPr>
          <w:rFonts w:ascii="宋体" w:hAnsi="宋体" w:eastAsia="宋体" w:cs="宋体"/>
          <w:color w:val="000000"/>
          <w:sz w:val="24"/>
          <w:szCs w:val="24"/>
        </w:rPr>
      </w:pPr>
    </w:p>
    <w:p w14:paraId="0078D760">
      <w:pPr>
        <w:widowControl/>
        <w:shd w:val="clear" w:color="auto" w:fill="FFFFFF"/>
        <w:spacing w:before="0" w:beforeAutospacing="0" w:after="0" w:afterAutospacing="0"/>
        <w:ind w:firstLine="420"/>
        <w:jc w:val="both"/>
        <w:rPr>
          <w:rFonts w:hint="eastAsia" w:ascii="黑体" w:hAnsi="黑体" w:eastAsia="黑体" w:cs="黑体"/>
          <w:b/>
          <w:color w:val="000000"/>
          <w:kern w:val="0"/>
          <w:sz w:val="32"/>
          <w:szCs w:val="32"/>
          <w:shd w:val="clear" w:color="auto" w:fill="FFFFFF"/>
          <w:lang w:val="en-US" w:eastAsia="zh-CN" w:bidi="ar-SA"/>
        </w:rPr>
      </w:pPr>
    </w:p>
    <w:p w14:paraId="114C5774">
      <w:pPr>
        <w:widowControl/>
        <w:shd w:val="clear" w:color="auto" w:fill="FFFFFF"/>
        <w:spacing w:before="0" w:beforeAutospacing="0" w:after="0" w:afterAutospacing="0"/>
        <w:ind w:firstLine="420"/>
        <w:jc w:val="both"/>
        <w:rPr>
          <w:rFonts w:hint="eastAsia" w:ascii="黑体" w:hAnsi="黑体" w:eastAsia="黑体" w:cs="黑体"/>
          <w:color w:val="000000"/>
          <w:kern w:val="0"/>
          <w:sz w:val="32"/>
          <w:szCs w:val="32"/>
          <w:lang w:val="en-US" w:eastAsia="zh-CN" w:bidi="ar-SA"/>
        </w:rPr>
      </w:pPr>
      <w:r>
        <w:rPr>
          <w:rFonts w:hint="eastAsia" w:ascii="黑体" w:hAnsi="黑体" w:eastAsia="黑体" w:cs="黑体"/>
          <w:b/>
          <w:color w:val="000000"/>
          <w:kern w:val="0"/>
          <w:sz w:val="32"/>
          <w:szCs w:val="32"/>
          <w:shd w:val="clear" w:color="auto" w:fill="FFFFFF"/>
          <w:lang w:val="en-US" w:eastAsia="zh-CN" w:bidi="ar-SA"/>
        </w:rPr>
        <w:t>四、政府信息公开行政复议、行政诉讼情况</w:t>
      </w:r>
    </w:p>
    <w:p w14:paraId="4FD26BB5">
      <w:pPr>
        <w:widowControl/>
        <w:shd w:val="clear" w:color="auto" w:fill="FFFFFF"/>
        <w:jc w:val="center"/>
        <w:rPr>
          <w:rFonts w:ascii="宋体" w:hAnsi="宋体" w:eastAsia="宋体" w:cs="宋体"/>
          <w:color w:val="000000"/>
          <w:sz w:val="24"/>
          <w:szCs w:val="24"/>
        </w:rPr>
      </w:pPr>
    </w:p>
    <w:tbl>
      <w:tblPr>
        <w:tblStyle w:val="2"/>
        <w:tblW w:w="974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14:paraId="5F10E3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EE3C065">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08EAF0B">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行政诉讼</w:t>
            </w:r>
          </w:p>
        </w:tc>
      </w:tr>
      <w:tr w14:paraId="001BE4B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7CCB32B6">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1337AB8A">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3B789D2">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0308264">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8C65B9A">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35C59EB">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B7D94A2">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复议后起诉</w:t>
            </w:r>
          </w:p>
        </w:tc>
      </w:tr>
      <w:tr w14:paraId="200BB7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4C056DD9">
            <w:pPr>
              <w:rPr>
                <w:rFonts w:ascii="宋体" w:hAnsi="Times New Roman" w:eastAsia="仿宋_GB2312" w:cs="Times New Roman"/>
                <w:color w:val="000000"/>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05277E8C">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49C248D">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2527AFE">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8414762">
            <w:pPr>
              <w:rPr>
                <w:rFonts w:ascii="宋体" w:hAnsi="Times New Roman" w:eastAsia="仿宋_GB2312" w:cs="Times New Roman"/>
                <w:color w:val="000000"/>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7A3C30EF">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927ACD2">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526D2E5">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99B0446">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CBD4B18">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DFA5B22">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9EA6BAB">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009D73D">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9DDFE0F">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602F04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14:paraId="036851A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1E5EEE7A">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r>
              <w:rPr>
                <w:rFonts w:ascii="黑体" w:hAnsi="宋体" w:eastAsia="黑体" w:cs="黑体"/>
                <w:color w:val="000000"/>
                <w:kern w:val="0"/>
                <w:sz w:val="20"/>
                <w:szCs w:val="20"/>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CEC7AEC">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34309B51">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63B03597">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7CE018DF">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r>
              <w:rPr>
                <w:rFonts w:hint="eastAsia" w:ascii="黑体" w:hAnsi="宋体" w:eastAsia="黑体" w:cs="黑体"/>
                <w:color w:val="000000"/>
                <w:kern w:val="0"/>
                <w:sz w:val="20"/>
                <w:szCs w:val="20"/>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4A913036">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3FE5B1C3">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1DB9C69B">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36D11400">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2A2A7F7E">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728CA6A3">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r>
              <w:rPr>
                <w:rFonts w:hint="eastAsia" w:ascii="黑体" w:hAnsi="宋体" w:eastAsia="黑体" w:cs="黑体"/>
                <w:color w:val="000000"/>
                <w:kern w:val="0"/>
                <w:sz w:val="20"/>
                <w:szCs w:val="20"/>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5BE4B26">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12AAF0A3">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EB0ADB8">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r>
              <w:rPr>
                <w:rFonts w:hint="eastAsia" w:ascii="黑体" w:hAnsi="宋体" w:eastAsia="黑体" w:cs="黑体"/>
                <w:color w:val="000000"/>
                <w:kern w:val="0"/>
                <w:sz w:val="20"/>
                <w:szCs w:val="20"/>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4B67BCB7">
            <w:pPr>
              <w:rPr>
                <w:rFonts w:hint="eastAsia" w:ascii="宋体" w:hAnsi="Times New Roman" w:eastAsia="仿宋_GB2312" w:cs="Times New Roman"/>
                <w:color w:val="000000"/>
                <w:sz w:val="24"/>
                <w:szCs w:val="24"/>
                <w:lang w:val="en-US" w:eastAsia="zh-CN"/>
              </w:rPr>
            </w:pPr>
            <w:r>
              <w:rPr>
                <w:rFonts w:hint="eastAsia" w:ascii="宋体" w:hAnsi="Times New Roman" w:eastAsia="仿宋_GB2312" w:cs="Times New Roman"/>
                <w:color w:val="000000"/>
                <w:sz w:val="24"/>
                <w:szCs w:val="24"/>
                <w:lang w:val="en-US" w:eastAsia="zh-CN"/>
              </w:rPr>
              <w:t>0</w:t>
            </w:r>
          </w:p>
        </w:tc>
      </w:tr>
    </w:tbl>
    <w:p w14:paraId="5D514CBE">
      <w:pPr>
        <w:widowControl/>
        <w:jc w:val="left"/>
        <w:rPr>
          <w:rFonts w:ascii="仿宋_GB2312" w:hAnsi="Times New Roman" w:eastAsia="仿宋_GB2312" w:cs="Times New Roman"/>
          <w:color w:val="000000"/>
          <w:sz w:val="32"/>
          <w:szCs w:val="32"/>
        </w:rPr>
      </w:pPr>
    </w:p>
    <w:p w14:paraId="0266B931">
      <w:pPr>
        <w:widowControl/>
        <w:shd w:val="clear" w:color="auto" w:fill="FFFFFF"/>
        <w:spacing w:before="0" w:beforeAutospacing="0" w:after="0" w:afterAutospacing="0"/>
        <w:ind w:firstLine="420"/>
        <w:jc w:val="both"/>
        <w:rPr>
          <w:rFonts w:hint="eastAsia" w:ascii="黑体" w:hAnsi="黑体" w:eastAsia="黑体" w:cs="黑体"/>
          <w:color w:val="000000"/>
          <w:kern w:val="0"/>
          <w:sz w:val="32"/>
          <w:szCs w:val="32"/>
          <w:lang w:val="en-US" w:eastAsia="zh-CN" w:bidi="ar-SA"/>
        </w:rPr>
      </w:pPr>
      <w:r>
        <w:rPr>
          <w:rFonts w:hint="eastAsia" w:ascii="黑体" w:hAnsi="黑体" w:eastAsia="黑体" w:cs="黑体"/>
          <w:b/>
          <w:color w:val="000000"/>
          <w:kern w:val="0"/>
          <w:sz w:val="32"/>
          <w:szCs w:val="32"/>
          <w:shd w:val="clear" w:color="auto" w:fill="FFFFFF"/>
          <w:lang w:val="en-US" w:eastAsia="zh-CN" w:bidi="ar-SA"/>
        </w:rPr>
        <w:t>五、存在的主要问题及改进情况</w:t>
      </w:r>
    </w:p>
    <w:p w14:paraId="31D42CE5">
      <w:pPr>
        <w:widowControl/>
        <w:shd w:val="clear" w:color="auto" w:fill="FFFFFF"/>
        <w:spacing w:before="0" w:beforeAutospacing="0" w:after="0" w:afterAutospacing="0"/>
        <w:ind w:firstLine="420"/>
        <w:jc w:val="both"/>
        <w:rPr>
          <w:rFonts w:hint="default" w:ascii="仿宋_GB2312" w:hAnsi="仿宋_GB2312" w:eastAsia="仿宋_GB2312" w:cs="仿宋_GB2312"/>
          <w:color w:val="000000"/>
          <w:kern w:val="0"/>
          <w:sz w:val="32"/>
          <w:szCs w:val="32"/>
          <w:lang w:val="en-US" w:eastAsia="zh-CN" w:bidi="ar-SA"/>
        </w:rPr>
      </w:pPr>
      <w:r>
        <w:rPr>
          <w:rFonts w:hint="eastAsia" w:ascii="楷体_GB2312" w:hAnsi="楷体_GB2312" w:eastAsia="楷体_GB2312" w:cs="楷体_GB2312"/>
          <w:color w:val="000000"/>
          <w:kern w:val="0"/>
          <w:sz w:val="32"/>
          <w:szCs w:val="32"/>
          <w:lang w:val="en-US" w:eastAsia="zh-CN" w:bidi="ar-SA"/>
        </w:rPr>
        <w:t>（一）上年度存在问题整改情况</w:t>
      </w:r>
      <w:r>
        <w:rPr>
          <w:rFonts w:hint="eastAsia" w:ascii="仿宋_GB2312" w:hAnsi="仿宋_GB2312" w:eastAsia="仿宋_GB2312" w:cs="仿宋_GB2312"/>
          <w:color w:val="000000"/>
          <w:kern w:val="0"/>
          <w:sz w:val="32"/>
          <w:szCs w:val="32"/>
          <w:lang w:val="en-US" w:eastAsia="zh-CN" w:bidi="ar-SA"/>
        </w:rPr>
        <w:t>。市重点工程处针对上年度政务公开工作开展的实际情况，紧抓工作调度、细化工作举措、强力推动整改到位，针对“通过动漫、视频等多元渠道政策解读的能力水平不高”问题，进一步提升图片解读工作能力，发布《一图读懂〈六安市重点工程建设管理处招标代理及造价咨询机构选取办法（试行）〉》《一图读懂〈六安市本级政府性投资市政基础设施及公共建筑工程项目移交接管的实施意见〉》等解读信息，有效扩展了政策信息传播度；针对“重大工程建设项目全生命周期公开信息收集不够及时”问题，及时做好新建重点工程项目全过程信息公开工作，建立责任清单、强化跟踪落实，确保做到及时更新；针对“重点工程领域重点文件开展意见征集工作力度还不够大”问题，在《六安市本级政府性投资市政基础设施及公共建筑工程项目移交接管的实施意见》意见征集中广泛征求了社会公众意见，并2次向市直及各县区单位征求意见，根据各方意见认真修改完善。</w:t>
      </w:r>
    </w:p>
    <w:p w14:paraId="1B526BDB">
      <w:pPr>
        <w:widowControl/>
        <w:shd w:val="clear" w:color="auto" w:fill="FFFFFF"/>
        <w:spacing w:before="0" w:beforeAutospacing="0" w:after="0" w:afterAutospacing="0"/>
        <w:ind w:firstLine="420"/>
        <w:jc w:val="both"/>
        <w:rPr>
          <w:rFonts w:hint="eastAsia" w:ascii="仿宋_GB2312" w:hAnsi="仿宋_GB2312" w:eastAsia="仿宋_GB2312" w:cs="仿宋_GB2312"/>
          <w:color w:val="000000"/>
          <w:kern w:val="0"/>
          <w:sz w:val="32"/>
          <w:szCs w:val="32"/>
          <w:lang w:val="en-US" w:eastAsia="zh-CN" w:bidi="ar-SA"/>
        </w:rPr>
      </w:pPr>
      <w:r>
        <w:rPr>
          <w:rFonts w:hint="eastAsia" w:ascii="楷体_GB2312" w:hAnsi="楷体_GB2312" w:eastAsia="楷体_GB2312" w:cs="楷体_GB2312"/>
          <w:color w:val="000000"/>
          <w:kern w:val="0"/>
          <w:sz w:val="32"/>
          <w:szCs w:val="32"/>
          <w:lang w:val="en-US" w:eastAsia="zh-CN" w:bidi="ar-SA"/>
        </w:rPr>
        <w:t>（二）主要存在问题</w:t>
      </w:r>
      <w:r>
        <w:rPr>
          <w:rFonts w:hint="eastAsia" w:ascii="仿宋_GB2312" w:hAnsi="仿宋_GB2312" w:eastAsia="仿宋_GB2312" w:cs="仿宋_GB2312"/>
          <w:color w:val="000000"/>
          <w:kern w:val="0"/>
          <w:sz w:val="32"/>
          <w:szCs w:val="32"/>
          <w:lang w:val="en-US" w:eastAsia="zh-CN" w:bidi="ar-SA"/>
        </w:rPr>
        <w:t>。2024年市重点工程处深化工作落实，紧抓工作推进，政务公开工作取得了一定成效，但对照高标准、严要求，还存在着设计重点工程项目参建企业相关文件信息公开内容还不够及时；强化科室协调配合的政务公开工作机制还需要进一步优化；对标先进典型提高政务公开整体工作质效上还需要加强等问题。</w:t>
      </w:r>
    </w:p>
    <w:p w14:paraId="3171F6B7">
      <w:pPr>
        <w:widowControl/>
        <w:shd w:val="clear" w:color="auto" w:fill="FFFFFF"/>
        <w:spacing w:before="0" w:beforeAutospacing="0" w:after="0" w:afterAutospacing="0"/>
        <w:ind w:firstLine="420"/>
        <w:jc w:val="both"/>
        <w:rPr>
          <w:rFonts w:hint="default" w:ascii="仿宋_GB2312" w:hAnsi="仿宋_GB2312" w:eastAsia="仿宋_GB2312" w:cs="仿宋_GB2312"/>
          <w:color w:val="000000"/>
          <w:kern w:val="0"/>
          <w:sz w:val="32"/>
          <w:szCs w:val="32"/>
          <w:lang w:val="en-US" w:eastAsia="zh-CN" w:bidi="ar-SA"/>
        </w:rPr>
      </w:pPr>
      <w:r>
        <w:rPr>
          <w:rFonts w:hint="eastAsia" w:ascii="楷体_GB2312" w:hAnsi="楷体_GB2312" w:eastAsia="楷体_GB2312" w:cs="楷体_GB2312"/>
          <w:color w:val="000000"/>
          <w:kern w:val="0"/>
          <w:sz w:val="32"/>
          <w:szCs w:val="32"/>
          <w:lang w:val="en-US" w:eastAsia="zh-CN" w:bidi="ar-SA"/>
        </w:rPr>
        <w:t>（三）下一步改进举措</w:t>
      </w:r>
      <w:r>
        <w:rPr>
          <w:rFonts w:hint="eastAsia" w:ascii="仿宋_GB2312" w:hAnsi="仿宋_GB2312" w:eastAsia="仿宋_GB2312" w:cs="仿宋_GB2312"/>
          <w:color w:val="000000"/>
          <w:kern w:val="0"/>
          <w:sz w:val="32"/>
          <w:szCs w:val="32"/>
          <w:lang w:val="en-US" w:eastAsia="zh-CN" w:bidi="ar-SA"/>
        </w:rPr>
        <w:t>。下一步，我处将从以下几个方面全力做好政务公开各项工作：</w:t>
      </w:r>
      <w:r>
        <w:rPr>
          <w:rFonts w:hint="eastAsia" w:ascii="仿宋_GB2312" w:hAnsi="仿宋_GB2312" w:eastAsia="仿宋_GB2312" w:cs="仿宋_GB2312"/>
          <w:b/>
          <w:bCs/>
          <w:color w:val="000000"/>
          <w:kern w:val="0"/>
          <w:sz w:val="32"/>
          <w:szCs w:val="32"/>
          <w:lang w:val="en-US" w:eastAsia="zh-CN" w:bidi="ar-SA"/>
        </w:rPr>
        <w:t>一是</w:t>
      </w:r>
      <w:r>
        <w:rPr>
          <w:rFonts w:hint="eastAsia" w:ascii="仿宋_GB2312" w:hAnsi="仿宋_GB2312" w:eastAsia="仿宋_GB2312" w:cs="仿宋_GB2312"/>
          <w:color w:val="000000"/>
          <w:kern w:val="0"/>
          <w:sz w:val="32"/>
          <w:szCs w:val="32"/>
          <w:lang w:val="en-US" w:eastAsia="zh-CN" w:bidi="ar-SA"/>
        </w:rPr>
        <w:t>抓实能力建设。加大对政务公开工作的学习培训力度，组织开展年度业务培训，积极赴先进典型单位学习相关工作经验，持续提升责任人员政务公开工作能力、舆情互动回应能力和政策解读工作能力，持续提升公开工作水平。</w:t>
      </w:r>
      <w:r>
        <w:rPr>
          <w:rFonts w:hint="eastAsia" w:ascii="仿宋_GB2312" w:hAnsi="仿宋_GB2312" w:eastAsia="仿宋_GB2312" w:cs="仿宋_GB2312"/>
          <w:b/>
          <w:bCs/>
          <w:color w:val="000000"/>
          <w:kern w:val="0"/>
          <w:sz w:val="32"/>
          <w:szCs w:val="32"/>
          <w:lang w:val="en-US" w:eastAsia="zh-CN" w:bidi="ar-SA"/>
        </w:rPr>
        <w:t>二是</w:t>
      </w:r>
      <w:r>
        <w:rPr>
          <w:rFonts w:hint="eastAsia" w:ascii="仿宋_GB2312" w:hAnsi="仿宋_GB2312" w:eastAsia="仿宋_GB2312" w:cs="仿宋_GB2312"/>
          <w:color w:val="000000"/>
          <w:kern w:val="0"/>
          <w:sz w:val="32"/>
          <w:szCs w:val="32"/>
          <w:lang w:val="en-US" w:eastAsia="zh-CN" w:bidi="ar-SA"/>
        </w:rPr>
        <w:t>突出责任落实。始终将政务公开作为年度重点工作、重要考核内容，细化工作任务清单、逐项对照排查、做好反馈跟踪，加强跟踪调度，确保政务公开各项工作目标落实到位，以政务公开工作的实际成果为中心城区重点工程建设提供坚实助力。</w:t>
      </w:r>
    </w:p>
    <w:p w14:paraId="5A6C55E8">
      <w:pPr>
        <w:widowControl/>
        <w:shd w:val="clear" w:color="auto" w:fill="FFFFFF"/>
        <w:spacing w:before="0" w:beforeAutospacing="0" w:after="0" w:afterAutospacing="0"/>
        <w:ind w:firstLine="420"/>
        <w:jc w:val="both"/>
        <w:rPr>
          <w:rFonts w:hint="eastAsia" w:ascii="黑体" w:hAnsi="黑体" w:eastAsia="黑体" w:cs="黑体"/>
          <w:color w:val="000000"/>
          <w:kern w:val="0"/>
          <w:sz w:val="32"/>
          <w:szCs w:val="32"/>
          <w:lang w:val="en-US" w:eastAsia="zh-CN" w:bidi="ar-SA"/>
        </w:rPr>
      </w:pPr>
      <w:r>
        <w:rPr>
          <w:rFonts w:hint="eastAsia" w:ascii="黑体" w:hAnsi="黑体" w:eastAsia="黑体" w:cs="黑体"/>
          <w:b/>
          <w:color w:val="000000"/>
          <w:kern w:val="0"/>
          <w:sz w:val="32"/>
          <w:szCs w:val="32"/>
          <w:shd w:val="clear" w:color="auto" w:fill="FFFFFF"/>
          <w:lang w:val="en-US" w:eastAsia="zh-CN" w:bidi="ar-SA"/>
        </w:rPr>
        <w:t>六、其他需要报告的事项</w:t>
      </w:r>
    </w:p>
    <w:p w14:paraId="3A7DF4C3">
      <w:pPr>
        <w:widowControl/>
        <w:shd w:val="clear" w:color="auto" w:fill="FFFFFF"/>
        <w:spacing w:before="0" w:beforeAutospacing="0" w:after="0" w:afterAutospacing="0"/>
        <w:ind w:firstLine="420"/>
        <w:jc w:val="left"/>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b/>
          <w:bCs/>
          <w:color w:val="000000"/>
          <w:kern w:val="0"/>
          <w:sz w:val="32"/>
          <w:szCs w:val="32"/>
          <w:shd w:val="clear" w:color="auto" w:fill="FFFFFF"/>
          <w:lang w:val="en-US" w:eastAsia="zh-CN" w:bidi="ar-SA"/>
        </w:rPr>
        <w:t>一是</w:t>
      </w:r>
      <w:r>
        <w:rPr>
          <w:rFonts w:hint="eastAsia" w:ascii="仿宋_GB2312" w:hAnsi="仿宋_GB2312" w:eastAsia="仿宋_GB2312" w:cs="仿宋_GB2312"/>
          <w:color w:val="000000"/>
          <w:kern w:val="0"/>
          <w:sz w:val="32"/>
          <w:szCs w:val="32"/>
          <w:shd w:val="clear" w:color="auto" w:fill="FFFFFF"/>
          <w:lang w:val="en-US" w:eastAsia="zh-CN" w:bidi="ar-SA"/>
        </w:rPr>
        <w:t>创新工作举措，结合重点工程建设工作实际，制定《六安市重点工程建设管理处招标代理及造价咨询机构选取办法（试行）》，逐项目全面公开咨询机构征集公告、选取过程和选取结果，年度通过公开征集、资格审查、随机选取、结果公示“四步走”模式选取咨询机构7家，高标准完成预算编制工作25项，有力推动了重点工程领域信息公开，进一步增强了社会公众对重点工程建设管理工作的信任。</w:t>
      </w:r>
      <w:r>
        <w:rPr>
          <w:rFonts w:hint="eastAsia" w:ascii="仿宋_GB2312" w:hAnsi="仿宋_GB2312" w:eastAsia="仿宋_GB2312" w:cs="仿宋_GB2312"/>
          <w:b/>
          <w:bCs/>
          <w:color w:val="000000"/>
          <w:kern w:val="0"/>
          <w:sz w:val="32"/>
          <w:szCs w:val="32"/>
          <w:shd w:val="clear" w:color="auto" w:fill="FFFFFF"/>
          <w:lang w:val="en-US" w:eastAsia="zh-CN" w:bidi="ar-SA"/>
        </w:rPr>
        <w:t>二是</w:t>
      </w:r>
      <w:r>
        <w:rPr>
          <w:rFonts w:hint="eastAsia" w:ascii="仿宋_GB2312" w:hAnsi="仿宋_GB2312" w:eastAsia="仿宋_GB2312" w:cs="仿宋_GB2312"/>
          <w:color w:val="000000"/>
          <w:kern w:val="0"/>
          <w:sz w:val="32"/>
          <w:szCs w:val="32"/>
          <w:shd w:val="clear" w:color="auto" w:fill="FFFFFF"/>
          <w:lang w:val="en-US" w:eastAsia="zh-CN" w:bidi="ar-SA"/>
        </w:rPr>
        <w:t>收取信息处理费相关情况，按照《国务院办公厅关于印发〈政府信息公开信息处理费管理办法〉 的通知》（国办函〔2020〕109号）规定的按件、按量收费标准，本年度没有产生信息公开处理费。</w:t>
      </w:r>
    </w:p>
    <w:p w14:paraId="5A58D772">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kZTAxOThjMjg0NGRjN2VkYzAwNDcyZDFjZTI1YTgifQ=="/>
  </w:docVars>
  <w:rsids>
    <w:rsidRoot w:val="00000000"/>
    <w:rsid w:val="0093008B"/>
    <w:rsid w:val="0BE34556"/>
    <w:rsid w:val="0E256FA8"/>
    <w:rsid w:val="228757E0"/>
    <w:rsid w:val="26CB501B"/>
    <w:rsid w:val="4B996053"/>
    <w:rsid w:val="52EA3518"/>
    <w:rsid w:val="549D6CE0"/>
    <w:rsid w:val="61744FEB"/>
    <w:rsid w:val="640B1B68"/>
    <w:rsid w:val="6FB90C60"/>
    <w:rsid w:val="734939BC"/>
    <w:rsid w:val="7736763F"/>
    <w:rsid w:val="7D0C0469"/>
    <w:rsid w:val="7EDC6D28"/>
    <w:rsid w:val="7EDE3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3213</Words>
  <Characters>3301</Characters>
  <Lines>0</Lines>
  <Paragraphs>0</Paragraphs>
  <TotalTime>39</TotalTime>
  <ScaleCrop>false</ScaleCrop>
  <LinksUpToDate>false</LinksUpToDate>
  <CharactersWithSpaces>3487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北岸的基洛夫熊</cp:lastModifiedBy>
  <dcterms:modified xsi:type="dcterms:W3CDTF">2025-01-09T07:44:01Z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A82CEB82547D4B1F957361507E7F58C7_13</vt:lpwstr>
  </property>
  <property fmtid="{D5CDD505-2E9C-101B-9397-08002B2CF9AE}" pid="4" name="KSOTemplateDocerSaveRecord">
    <vt:lpwstr>eyJoZGlkIjoiMjVlOTRjYTFkMWZhMWQ2MTk4MjhiMTNmMWI0ZjQ3OTYiLCJ1c2VySWQiOiIyMDEwNjQ0MDgifQ==</vt:lpwstr>
  </property>
</Properties>
</file>