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91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0C3CF73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六安市重点工程建设管理处202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p>
    <w:p w14:paraId="1CA6209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政府信息公开工作年度报告</w:t>
      </w:r>
    </w:p>
    <w:p w14:paraId="7D374A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45AE7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根据《中华人民共和国政府信息公开条例》第五十条相关规定，结合上级有关文件精神要求及工作实际，六安市重点工程建设管理处编制202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政府信息公开年度报告。本报告包括总体情况、主动公开政府信息情况、收到和处理政府信息公开申请情况、因政府信息公开工作被申请行政复议、提起行政诉讼情况和其他需要报告的事项。本年度报告中使用数据统计期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本年度报告电子版可在六安市重点工程建设管理处信息公开平台下载。如对本报告有任何疑问，请与六安市重点工程建设管理处联系（地址：六安市佛子岭中路134号；邮编237000；联系电话：0564-3953977）</w:t>
      </w:r>
    </w:p>
    <w:p w14:paraId="16F702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i w:val="0"/>
          <w:iCs w:val="0"/>
          <w:caps w:val="0"/>
          <w:color w:val="000000"/>
          <w:spacing w:val="0"/>
          <w:kern w:val="0"/>
          <w:sz w:val="32"/>
          <w:szCs w:val="32"/>
          <w:shd w:val="clear" w:color="auto" w:fill="FFFFFF"/>
          <w:lang w:val="en-US" w:eastAsia="zh-CN" w:bidi="ar"/>
        </w:rPr>
      </w:pPr>
      <w:r>
        <w:rPr>
          <w:rFonts w:ascii="黑体" w:hAnsi="宋体" w:eastAsia="黑体" w:cs="黑体"/>
          <w:i w:val="0"/>
          <w:iCs w:val="0"/>
          <w:caps w:val="0"/>
          <w:color w:val="000000"/>
          <w:spacing w:val="0"/>
          <w:kern w:val="0"/>
          <w:sz w:val="32"/>
          <w:szCs w:val="32"/>
          <w:shd w:val="clear" w:color="auto" w:fill="FFFFFF"/>
          <w:lang w:val="en-US" w:eastAsia="zh-CN" w:bidi="ar"/>
        </w:rPr>
        <w:t>一、总体情况</w:t>
      </w:r>
    </w:p>
    <w:p w14:paraId="128307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仿宋_GB2312" w:hAnsi="宋体" w:eastAsia="仿宋_GB2312" w:cs="仿宋_GB2312"/>
          <w:i w:val="0"/>
          <w:iCs w:val="0"/>
          <w:caps w:val="0"/>
          <w:color w:val="000000"/>
          <w:spacing w:val="0"/>
          <w:kern w:val="0"/>
          <w:sz w:val="32"/>
          <w:szCs w:val="32"/>
          <w:shd w:val="clear" w:color="auto" w:fill="FFFFFF"/>
          <w:lang w:val="en-US" w:eastAsia="zh-CN" w:bidi="ar"/>
        </w:rPr>
        <w:t>202</w:t>
      </w: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5</w:t>
      </w:r>
      <w:r>
        <w:rPr>
          <w:rFonts w:ascii="仿宋_GB2312" w:hAnsi="宋体" w:eastAsia="仿宋_GB2312" w:cs="仿宋_GB2312"/>
          <w:i w:val="0"/>
          <w:iCs w:val="0"/>
          <w:caps w:val="0"/>
          <w:color w:val="000000"/>
          <w:spacing w:val="0"/>
          <w:kern w:val="0"/>
          <w:sz w:val="32"/>
          <w:szCs w:val="32"/>
          <w:shd w:val="clear" w:color="auto" w:fill="FFFFFF"/>
          <w:lang w:val="en-US" w:eastAsia="zh-CN" w:bidi="ar"/>
        </w:rPr>
        <w:t>年，市重点工程处</w:t>
      </w: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深入学习贯彻中央、省、市关于新时代政务公开工作的各项部署精神，严格落实市委、市政府各项工作部署安排，坚持“以公开为常态、不公开为例外”</w:t>
      </w:r>
      <w:bookmarkStart w:id="0" w:name="_GoBack"/>
      <w:bookmarkEnd w:id="0"/>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工作原则，结合建设城区重点工程的工作职责，推动重点工程建设领域信息公开工作。</w:t>
      </w:r>
    </w:p>
    <w:p w14:paraId="621C1F32">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楷体_GB2312" w:hAnsi="宋体" w:eastAsia="楷体_GB2312" w:cs="楷体_GB2312"/>
          <w:i w:val="0"/>
          <w:iCs w:val="0"/>
          <w:caps w:val="0"/>
          <w:color w:val="000000"/>
          <w:spacing w:val="0"/>
          <w:kern w:val="0"/>
          <w:sz w:val="32"/>
          <w:szCs w:val="32"/>
          <w:lang w:val="en-US" w:eastAsia="zh-CN" w:bidi="ar"/>
        </w:rPr>
        <w:t>主动公开情况。2025年度，</w:t>
      </w:r>
      <w:r>
        <w:rPr>
          <w:rFonts w:hint="eastAsia" w:ascii="仿宋_GB2312" w:hAnsi="仿宋_GB2312" w:eastAsia="仿宋_GB2312" w:cs="仿宋_GB2312"/>
          <w:i w:val="0"/>
          <w:iCs w:val="0"/>
          <w:caps w:val="0"/>
          <w:color w:val="auto"/>
          <w:spacing w:val="0"/>
          <w:kern w:val="0"/>
          <w:sz w:val="32"/>
          <w:szCs w:val="32"/>
          <w:lang w:val="en-US" w:eastAsia="zh-CN" w:bidi="ar"/>
        </w:rPr>
        <w:t>市重点工程处公开了工作动态、公示公告、重点工程项目展示、财政预决算等重点工程领域相关内容，</w:t>
      </w:r>
      <w:r>
        <w:rPr>
          <w:rFonts w:hint="eastAsia" w:ascii="仿宋_GB2312" w:hAnsi="仿宋_GB2312" w:eastAsia="仿宋_GB2312" w:cs="仿宋_GB2312"/>
          <w:i w:val="0"/>
          <w:iCs w:val="0"/>
          <w:caps w:val="0"/>
          <w:color w:val="000000"/>
          <w:spacing w:val="0"/>
          <w:kern w:val="0"/>
          <w:sz w:val="32"/>
          <w:szCs w:val="32"/>
          <w:lang w:val="en-US" w:eastAsia="zh-CN" w:bidi="ar"/>
        </w:rPr>
        <w:t>2025年网站发布政务资讯214条、政务信息164条。紧紧围绕重点工程建设，深化项目建设信息全面公开，通过门户网站、网络新媒体等平台主动及时发布重点工程招投标信息、重大节点进展、质量安全检查、施工竣工、监督保障等信息，深入推进管理、服务、结果全面公开。完成了年度各项工作任务，为加快重点工程建设、提升城市服务功能，发挥了重要作用。</w:t>
      </w:r>
    </w:p>
    <w:p w14:paraId="226B99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楷体_GB2312" w:hAnsi="宋体" w:eastAsia="楷体_GB2312" w:cs="楷体_GB2312"/>
          <w:i w:val="0"/>
          <w:iCs w:val="0"/>
          <w:caps w:val="0"/>
          <w:color w:val="000000"/>
          <w:spacing w:val="0"/>
          <w:kern w:val="0"/>
          <w:sz w:val="32"/>
          <w:szCs w:val="32"/>
          <w:lang w:val="en-US" w:eastAsia="zh-CN" w:bidi="ar"/>
        </w:rPr>
        <w:t>（二）依申请公开。</w:t>
      </w:r>
      <w:r>
        <w:rPr>
          <w:rFonts w:ascii="仿宋_GB2312" w:hAnsi="宋体" w:eastAsia="仿宋_GB2312" w:cs="仿宋_GB2312"/>
          <w:i w:val="0"/>
          <w:iCs w:val="0"/>
          <w:caps w:val="0"/>
          <w:color w:val="000000"/>
          <w:spacing w:val="0"/>
          <w:kern w:val="0"/>
          <w:sz w:val="32"/>
          <w:szCs w:val="32"/>
          <w:lang w:val="en-US" w:eastAsia="zh-CN" w:bidi="ar"/>
        </w:rPr>
        <w:t>202</w:t>
      </w:r>
      <w:r>
        <w:rPr>
          <w:rFonts w:hint="eastAsia" w:ascii="仿宋_GB2312" w:hAnsi="宋体" w:eastAsia="仿宋_GB2312" w:cs="仿宋_GB2312"/>
          <w:i w:val="0"/>
          <w:iCs w:val="0"/>
          <w:caps w:val="0"/>
          <w:color w:val="000000"/>
          <w:spacing w:val="0"/>
          <w:kern w:val="0"/>
          <w:sz w:val="32"/>
          <w:szCs w:val="32"/>
          <w:lang w:val="en-US" w:eastAsia="zh-CN" w:bidi="ar"/>
        </w:rPr>
        <w:t>5年，市重点工程处未收到政府信息公开申请。</w:t>
      </w:r>
    </w:p>
    <w:p w14:paraId="167534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楷体_GB2312" w:hAnsi="宋体" w:eastAsia="楷体_GB2312" w:cs="楷体_GB2312"/>
          <w:i w:val="0"/>
          <w:iCs w:val="0"/>
          <w:caps w:val="0"/>
          <w:color w:val="000000"/>
          <w:spacing w:val="0"/>
          <w:kern w:val="0"/>
          <w:sz w:val="32"/>
          <w:szCs w:val="32"/>
          <w:lang w:val="en-US" w:eastAsia="zh-CN" w:bidi="ar"/>
        </w:rPr>
        <w:t>（三）政府信息管理</w:t>
      </w:r>
      <w:r>
        <w:rPr>
          <w:rFonts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宋体" w:eastAsia="仿宋_GB2312" w:cs="仿宋_GB2312"/>
          <w:i w:val="0"/>
          <w:iCs w:val="0"/>
          <w:caps w:val="0"/>
          <w:color w:val="000000"/>
          <w:spacing w:val="0"/>
          <w:kern w:val="0"/>
          <w:sz w:val="32"/>
          <w:szCs w:val="32"/>
          <w:lang w:val="en-US" w:eastAsia="zh-CN" w:bidi="ar"/>
        </w:rPr>
        <w:t>贯彻落实《政府信息公开条例》文件精神，在市政务公开办的工作指导下，落实信息公开制度各项工作要求。根据工作需要和领导分工调整，进一步调整了</w:t>
      </w:r>
      <w:r>
        <w:rPr>
          <w:rFonts w:hint="eastAsia" w:ascii="仿宋_GB2312" w:hAnsi="宋体" w:eastAsia="仿宋_GB2312" w:cs="仿宋_GB2312"/>
          <w:i w:val="0"/>
          <w:iCs w:val="0"/>
          <w:caps w:val="0"/>
          <w:color w:val="auto"/>
          <w:spacing w:val="0"/>
          <w:kern w:val="0"/>
          <w:sz w:val="32"/>
          <w:szCs w:val="32"/>
          <w:lang w:val="en-US" w:eastAsia="zh-CN" w:bidi="ar"/>
        </w:rPr>
        <w:t>市重点工程处</w:t>
      </w:r>
      <w:r>
        <w:rPr>
          <w:rFonts w:hint="eastAsia" w:ascii="仿宋_GB2312" w:hAnsi="宋体" w:eastAsia="仿宋_GB2312" w:cs="仿宋_GB2312"/>
          <w:i w:val="0"/>
          <w:iCs w:val="0"/>
          <w:caps w:val="0"/>
          <w:color w:val="000000"/>
          <w:spacing w:val="0"/>
          <w:kern w:val="0"/>
          <w:sz w:val="32"/>
          <w:szCs w:val="32"/>
          <w:lang w:val="en-US" w:eastAsia="zh-CN" w:bidi="ar"/>
        </w:rPr>
        <w:t>政府网站和政务公开工作领导小组人员组成，进一步明确责任分工，严格落实“三审”制度，推进任务落实。常态化开展公开信息自查核验工作，重点排查涉敏内容、信息失真、表述错误等问题，确保公开信息真实准确、安全合规。</w:t>
      </w:r>
    </w:p>
    <w:p w14:paraId="1D06EA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楷体_GB2312" w:hAnsi="楷体_GB2312" w:eastAsia="楷体_GB2312" w:cs="楷体_GB2312"/>
          <w:i w:val="0"/>
          <w:iCs w:val="0"/>
          <w:caps w:val="0"/>
          <w:color w:val="000000"/>
          <w:spacing w:val="0"/>
          <w:kern w:val="0"/>
          <w:sz w:val="32"/>
          <w:szCs w:val="32"/>
          <w:lang w:val="en-US" w:eastAsia="zh-CN" w:bidi="ar"/>
        </w:rPr>
        <w:t>（四）政府信息公开平台建设情况。</w:t>
      </w:r>
      <w:r>
        <w:rPr>
          <w:rFonts w:hint="eastAsia" w:ascii="仿宋_GB2312" w:hAnsi="仿宋_GB2312" w:eastAsia="仿宋_GB2312" w:cs="仿宋_GB2312"/>
          <w:i w:val="0"/>
          <w:iCs w:val="0"/>
          <w:caps w:val="0"/>
          <w:color w:val="000000"/>
          <w:spacing w:val="0"/>
          <w:kern w:val="0"/>
          <w:sz w:val="32"/>
          <w:szCs w:val="32"/>
          <w:lang w:val="en-US" w:eastAsia="zh-CN" w:bidi="ar"/>
        </w:rPr>
        <w:t>加强线上公开平台运营管理，持续优化政府网站与政务新媒体建设，主动及时更新重点工程建设领域各类信息；2025年处微信公众号发布信息1090篇，通过市12345政务服务便民热线平台办结353  件。主动回应关切，针对社会关注度高的交通导改、施工噪音扬尘防治等问题，通过多种途径发布公告，邀请群众代表参观等方式，主动释疑解惑，争取理解支持。今年以来上线政风行风热线2次，召开重点工程项目推进情况新闻发布会1次，组织开展“政府开放日”活动1次。</w:t>
      </w:r>
    </w:p>
    <w:p w14:paraId="5BC0C5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监督保障</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将政务公开与各项业务工作同部署、同安排，健全分级责任落实机制，将政务公开工作任务细化分解至所有相关业务科室，形成“综合科牵头协调、业务科室各负其责、全员共同参与”的工作格局。积极组织并参加政务公开业务培训，定期进行政务公开业务交流；结合第三方专业培训机构检查的工作提示，按季度做好全处政务公开工作的整改落实。</w:t>
      </w:r>
    </w:p>
    <w:p w14:paraId="6DBEB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Calibri" w:hAnsi="Calibri" w:cs="Calibri"/>
          <w:i w:val="0"/>
          <w:iCs w:val="0"/>
          <w:caps w:val="0"/>
          <w:color w:val="000000"/>
          <w:spacing w:val="0"/>
          <w:sz w:val="21"/>
          <w:szCs w:val="21"/>
        </w:rPr>
      </w:pPr>
      <w:r>
        <w:rPr>
          <w:rFonts w:ascii="黑体" w:hAnsi="宋体" w:eastAsia="黑体" w:cs="黑体"/>
          <w:b w:val="0"/>
          <w:bCs w:val="0"/>
          <w:i w:val="0"/>
          <w:iCs w:val="0"/>
          <w:caps w:val="0"/>
          <w:color w:val="000000"/>
          <w:spacing w:val="0"/>
          <w:sz w:val="32"/>
          <w:szCs w:val="32"/>
          <w:shd w:val="clear" w:color="auto" w:fill="FFFFFF"/>
        </w:rPr>
        <w:t>二、主动公开政府信息情况</w:t>
      </w:r>
    </w:p>
    <w:tbl>
      <w:tblPr>
        <w:tblStyle w:val="3"/>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30"/>
        <w:gridCol w:w="2330"/>
        <w:gridCol w:w="2330"/>
        <w:gridCol w:w="2330"/>
      </w:tblGrid>
      <w:tr w14:paraId="7F34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9320"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57" w:type="dxa"/>
              <w:bottom w:w="0" w:type="dxa"/>
              <w:right w:w="57" w:type="dxa"/>
            </w:tcMar>
            <w:vAlign w:val="center"/>
          </w:tcPr>
          <w:p w14:paraId="7D430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第二十条第（一）项</w:t>
            </w:r>
          </w:p>
        </w:tc>
      </w:tr>
      <w:tr w14:paraId="6949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417EA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2330" w:type="dxa"/>
            <w:tcBorders>
              <w:top w:val="single" w:color="auto" w:sz="6" w:space="0"/>
              <w:left w:val="nil"/>
              <w:bottom w:val="single" w:color="auto" w:sz="6" w:space="0"/>
              <w:right w:val="single" w:color="auto" w:sz="6" w:space="0"/>
            </w:tcBorders>
            <w:noWrap w:val="0"/>
            <w:tcMar>
              <w:top w:w="0" w:type="dxa"/>
              <w:left w:w="57" w:type="dxa"/>
              <w:bottom w:w="0" w:type="dxa"/>
              <w:right w:w="57" w:type="dxa"/>
            </w:tcMar>
            <w:vAlign w:val="center"/>
          </w:tcPr>
          <w:p w14:paraId="033B2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本年制发件数</w:t>
            </w:r>
          </w:p>
        </w:tc>
        <w:tc>
          <w:tcPr>
            <w:tcW w:w="2330" w:type="dxa"/>
            <w:tcBorders>
              <w:top w:val="single" w:color="auto" w:sz="6" w:space="0"/>
              <w:left w:val="nil"/>
              <w:bottom w:val="single" w:color="auto" w:sz="6" w:space="0"/>
              <w:right w:val="single" w:color="auto" w:sz="6" w:space="0"/>
            </w:tcBorders>
            <w:noWrap w:val="0"/>
            <w:tcMar>
              <w:top w:w="0" w:type="dxa"/>
              <w:left w:w="57" w:type="dxa"/>
              <w:bottom w:w="0" w:type="dxa"/>
              <w:right w:w="57" w:type="dxa"/>
            </w:tcMar>
            <w:vAlign w:val="center"/>
          </w:tcPr>
          <w:p w14:paraId="6B81E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本年废止件数</w:t>
            </w:r>
          </w:p>
        </w:tc>
        <w:tc>
          <w:tcPr>
            <w:tcW w:w="2330" w:type="dxa"/>
            <w:tcBorders>
              <w:top w:val="single" w:color="auto" w:sz="6" w:space="0"/>
              <w:left w:val="nil"/>
              <w:bottom w:val="single" w:color="auto" w:sz="6" w:space="0"/>
              <w:right w:val="single" w:color="auto" w:sz="6" w:space="0"/>
            </w:tcBorders>
            <w:noWrap w:val="0"/>
            <w:tcMar>
              <w:top w:w="0" w:type="dxa"/>
              <w:left w:w="57" w:type="dxa"/>
              <w:bottom w:w="0" w:type="dxa"/>
              <w:right w:w="57" w:type="dxa"/>
            </w:tcMar>
            <w:vAlign w:val="center"/>
          </w:tcPr>
          <w:p w14:paraId="4FBA2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现行有效件数</w:t>
            </w:r>
          </w:p>
        </w:tc>
      </w:tr>
      <w:tr w14:paraId="3F35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6555C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规章</w:t>
            </w:r>
          </w:p>
        </w:tc>
        <w:tc>
          <w:tcPr>
            <w:tcW w:w="2330"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5CBBE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　　</w:t>
            </w:r>
          </w:p>
        </w:tc>
        <w:tc>
          <w:tcPr>
            <w:tcW w:w="2330"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20A0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0　</w:t>
            </w:r>
          </w:p>
        </w:tc>
        <w:tc>
          <w:tcPr>
            <w:tcW w:w="2330"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452C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0</w:t>
            </w:r>
          </w:p>
        </w:tc>
      </w:tr>
      <w:tr w14:paraId="253C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20AFD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330"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FA7E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　</w:t>
            </w:r>
          </w:p>
        </w:tc>
        <w:tc>
          <w:tcPr>
            <w:tcW w:w="2330"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8149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0　</w:t>
            </w:r>
          </w:p>
        </w:tc>
        <w:tc>
          <w:tcPr>
            <w:tcW w:w="2330"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BEB8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0</w:t>
            </w:r>
          </w:p>
        </w:tc>
      </w:tr>
      <w:tr w14:paraId="0FB4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9320" w:type="dxa"/>
            <w:gridSpan w:val="4"/>
            <w:tcBorders>
              <w:top w:val="nil"/>
              <w:left w:val="single" w:color="auto" w:sz="6" w:space="0"/>
              <w:bottom w:val="single" w:color="auto" w:sz="6" w:space="0"/>
              <w:right w:val="single" w:color="auto" w:sz="6" w:space="0"/>
            </w:tcBorders>
            <w:shd w:val="clear" w:color="auto" w:fill="C6D9F1"/>
            <w:noWrap w:val="0"/>
            <w:tcMar>
              <w:top w:w="0" w:type="dxa"/>
              <w:left w:w="57" w:type="dxa"/>
              <w:bottom w:w="0" w:type="dxa"/>
              <w:right w:w="57" w:type="dxa"/>
            </w:tcMar>
            <w:vAlign w:val="center"/>
          </w:tcPr>
          <w:p w14:paraId="0C9BC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第二十条第（五）项</w:t>
            </w:r>
          </w:p>
        </w:tc>
      </w:tr>
      <w:tr w14:paraId="1BB9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21347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6990" w:type="dxa"/>
            <w:gridSpan w:val="3"/>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75F4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3940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40B84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行政许可</w:t>
            </w:r>
          </w:p>
        </w:tc>
        <w:tc>
          <w:tcPr>
            <w:tcW w:w="6990" w:type="dxa"/>
            <w:gridSpan w:val="3"/>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BD43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1"/>
                <w:szCs w:val="21"/>
              </w:rPr>
              <w:t>0</w:t>
            </w:r>
          </w:p>
        </w:tc>
      </w:tr>
      <w:tr w14:paraId="39FA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9320" w:type="dxa"/>
            <w:gridSpan w:val="4"/>
            <w:tcBorders>
              <w:top w:val="nil"/>
              <w:left w:val="single" w:color="auto" w:sz="6" w:space="0"/>
              <w:bottom w:val="single" w:color="auto" w:sz="6" w:space="0"/>
              <w:right w:val="single" w:color="auto" w:sz="6" w:space="0"/>
            </w:tcBorders>
            <w:shd w:val="clear" w:color="auto" w:fill="C6D9F1"/>
            <w:noWrap w:val="0"/>
            <w:tcMar>
              <w:top w:w="0" w:type="dxa"/>
              <w:left w:w="57" w:type="dxa"/>
              <w:bottom w:w="0" w:type="dxa"/>
              <w:right w:w="57" w:type="dxa"/>
            </w:tcMar>
            <w:vAlign w:val="center"/>
          </w:tcPr>
          <w:p w14:paraId="1771D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第二十条第（六）项</w:t>
            </w:r>
          </w:p>
        </w:tc>
      </w:tr>
      <w:tr w14:paraId="6FAA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03EFF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6990" w:type="dxa"/>
            <w:gridSpan w:val="3"/>
            <w:tcBorders>
              <w:top w:val="single" w:color="auto" w:sz="6" w:space="0"/>
              <w:left w:val="nil"/>
              <w:bottom w:val="single" w:color="auto" w:sz="6" w:space="0"/>
              <w:right w:val="single" w:color="auto" w:sz="6" w:space="0"/>
            </w:tcBorders>
            <w:noWrap w:val="0"/>
            <w:tcMar>
              <w:top w:w="0" w:type="dxa"/>
              <w:left w:w="57" w:type="dxa"/>
              <w:bottom w:w="0" w:type="dxa"/>
              <w:right w:w="57" w:type="dxa"/>
            </w:tcMar>
            <w:vAlign w:val="center"/>
          </w:tcPr>
          <w:p w14:paraId="631D0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14:paraId="55BB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3D748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6990" w:type="dxa"/>
            <w:gridSpan w:val="3"/>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76C7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　</w:t>
            </w:r>
          </w:p>
        </w:tc>
      </w:tr>
      <w:tr w14:paraId="6E37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47E97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行政强制</w:t>
            </w:r>
          </w:p>
        </w:tc>
        <w:tc>
          <w:tcPr>
            <w:tcW w:w="6990" w:type="dxa"/>
            <w:gridSpan w:val="3"/>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0E48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0　</w:t>
            </w:r>
          </w:p>
        </w:tc>
      </w:tr>
      <w:tr w14:paraId="0192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9320" w:type="dxa"/>
            <w:gridSpan w:val="4"/>
            <w:tcBorders>
              <w:top w:val="nil"/>
              <w:left w:val="single" w:color="auto" w:sz="6" w:space="0"/>
              <w:bottom w:val="single" w:color="auto" w:sz="6" w:space="0"/>
              <w:right w:val="single" w:color="auto" w:sz="6" w:space="0"/>
            </w:tcBorders>
            <w:shd w:val="clear" w:color="auto" w:fill="C6D9F1"/>
            <w:noWrap w:val="0"/>
            <w:tcMar>
              <w:top w:w="0" w:type="dxa"/>
              <w:left w:w="57" w:type="dxa"/>
              <w:bottom w:w="0" w:type="dxa"/>
              <w:right w:w="57" w:type="dxa"/>
            </w:tcMar>
            <w:vAlign w:val="center"/>
          </w:tcPr>
          <w:p w14:paraId="2BFDB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第二十条第（八）项</w:t>
            </w:r>
          </w:p>
        </w:tc>
      </w:tr>
      <w:tr w14:paraId="2DC1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771D0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6990" w:type="dxa"/>
            <w:gridSpan w:val="3"/>
            <w:tcBorders>
              <w:top w:val="nil"/>
              <w:left w:val="nil"/>
              <w:bottom w:val="single" w:color="auto" w:sz="6" w:space="0"/>
              <w:right w:val="single" w:color="000000" w:sz="6" w:space="0"/>
            </w:tcBorders>
            <w:noWrap w:val="0"/>
            <w:tcMar>
              <w:top w:w="0" w:type="dxa"/>
              <w:left w:w="57" w:type="dxa"/>
              <w:bottom w:w="0" w:type="dxa"/>
              <w:right w:w="57" w:type="dxa"/>
            </w:tcMar>
            <w:vAlign w:val="center"/>
          </w:tcPr>
          <w:p w14:paraId="63333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本年收费金额（单位：万元）</w:t>
            </w:r>
          </w:p>
        </w:tc>
      </w:tr>
      <w:tr w14:paraId="0717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330" w:type="dxa"/>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74B12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w:t>
            </w:r>
          </w:p>
        </w:tc>
        <w:tc>
          <w:tcPr>
            <w:tcW w:w="6990" w:type="dxa"/>
            <w:gridSpan w:val="3"/>
            <w:tcBorders>
              <w:top w:val="nil"/>
              <w:left w:val="nil"/>
              <w:bottom w:val="single" w:color="auto" w:sz="6" w:space="0"/>
              <w:right w:val="single" w:color="000000" w:sz="6" w:space="0"/>
            </w:tcBorders>
            <w:noWrap w:val="0"/>
            <w:tcMar>
              <w:top w:w="0" w:type="dxa"/>
              <w:left w:w="57" w:type="dxa"/>
              <w:bottom w:w="0" w:type="dxa"/>
              <w:right w:w="57" w:type="dxa"/>
            </w:tcMar>
            <w:vAlign w:val="center"/>
          </w:tcPr>
          <w:p w14:paraId="77A4B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4"/>
                <w:szCs w:val="24"/>
              </w:rPr>
              <w:t>0</w:t>
            </w:r>
          </w:p>
        </w:tc>
      </w:tr>
    </w:tbl>
    <w:p w14:paraId="36D22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default" w:ascii="Calibri" w:hAnsi="Calibri" w:cs="Calibri"/>
          <w:i w:val="0"/>
          <w:iCs w:val="0"/>
          <w:caps w:val="0"/>
          <w:color w:val="000000"/>
          <w:spacing w:val="0"/>
          <w:sz w:val="21"/>
          <w:szCs w:val="21"/>
          <w:shd w:val="clear" w:color="auto" w:fill="FFFFFF"/>
        </w:rPr>
      </w:pPr>
      <w:r>
        <w:rPr>
          <w:rFonts w:hint="default" w:ascii="Calibri" w:hAnsi="Calibri" w:cs="Calibri"/>
          <w:i w:val="0"/>
          <w:iCs w:val="0"/>
          <w:caps w:val="0"/>
          <w:color w:val="000000"/>
          <w:spacing w:val="0"/>
          <w:sz w:val="21"/>
          <w:szCs w:val="21"/>
          <w:shd w:val="clear" w:color="auto" w:fill="FFFFFF"/>
        </w:rPr>
        <w:t> </w:t>
      </w:r>
    </w:p>
    <w:p w14:paraId="08E97350">
      <w:pPr>
        <w:keepNext w:val="0"/>
        <w:keepLines w:val="0"/>
        <w:widowControl/>
        <w:suppressLineNumbers w:val="0"/>
        <w:jc w:val="left"/>
      </w:pPr>
      <w:r>
        <w:rPr>
          <w:rFonts w:ascii="黑体" w:hAnsi="宋体" w:eastAsia="黑体" w:cs="黑体"/>
          <w:i w:val="0"/>
          <w:iCs w:val="0"/>
          <w:caps w:val="0"/>
          <w:color w:val="000000"/>
          <w:spacing w:val="0"/>
          <w:kern w:val="0"/>
          <w:sz w:val="32"/>
          <w:szCs w:val="32"/>
          <w:shd w:val="clear" w:color="auto" w:fill="FFFFFF"/>
          <w:lang w:val="en-US" w:eastAsia="zh-CN" w:bidi="ar"/>
        </w:rPr>
        <w:t>三、收到和处理政府信息公开申请情况</w:t>
      </w:r>
    </w:p>
    <w:tbl>
      <w:tblPr>
        <w:tblStyle w:val="3"/>
        <w:tblW w:w="96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1"/>
        <w:gridCol w:w="936"/>
        <w:gridCol w:w="3199"/>
        <w:gridCol w:w="683"/>
        <w:gridCol w:w="683"/>
        <w:gridCol w:w="683"/>
        <w:gridCol w:w="683"/>
        <w:gridCol w:w="683"/>
        <w:gridCol w:w="685"/>
        <w:gridCol w:w="683"/>
      </w:tblGrid>
      <w:tr w14:paraId="2BDF8C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6" w:type="dxa"/>
            <w:gridSpan w:val="3"/>
            <w:vMerge w:val="restart"/>
            <w:tcBorders>
              <w:top w:val="single" w:color="auto" w:sz="6" w:space="0"/>
              <w:left w:val="single" w:color="auto" w:sz="6" w:space="0"/>
              <w:bottom w:val="outset" w:color="auto" w:sz="6" w:space="0"/>
              <w:right w:val="single" w:color="auto" w:sz="6" w:space="0"/>
            </w:tcBorders>
            <w:noWrap w:val="0"/>
            <w:tcMar>
              <w:top w:w="0" w:type="dxa"/>
              <w:left w:w="108" w:type="dxa"/>
              <w:bottom w:w="0" w:type="dxa"/>
              <w:right w:w="108" w:type="dxa"/>
            </w:tcMar>
            <w:vAlign w:val="center"/>
          </w:tcPr>
          <w:p w14:paraId="74BAD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cs="Calibri"/>
                <w:sz w:val="21"/>
                <w:szCs w:val="21"/>
              </w:rPr>
            </w:pPr>
            <w:r>
              <w:rPr>
                <w:rFonts w:ascii="楷体" w:hAnsi="楷体" w:eastAsia="楷体" w:cs="楷体"/>
                <w:color w:val="000000"/>
                <w:sz w:val="20"/>
                <w:szCs w:val="20"/>
              </w:rPr>
              <w:t>（本列数据的勾稽关系为：第一项加第二项之和，等于第三项加第四项之和）</w:t>
            </w:r>
          </w:p>
        </w:tc>
        <w:tc>
          <w:tcPr>
            <w:tcW w:w="4783" w:type="dxa"/>
            <w:gridSpan w:val="7"/>
            <w:tcBorders>
              <w:top w:val="single" w:color="auto" w:sz="6" w:space="0"/>
              <w:left w:val="nil"/>
              <w:bottom w:val="single" w:color="auto" w:sz="6" w:space="0"/>
              <w:right w:val="single" w:color="auto" w:sz="6" w:space="0"/>
            </w:tcBorders>
            <w:noWrap w:val="0"/>
            <w:tcMar>
              <w:top w:w="0" w:type="dxa"/>
              <w:left w:w="57" w:type="dxa"/>
              <w:bottom w:w="0" w:type="dxa"/>
              <w:right w:w="57" w:type="dxa"/>
            </w:tcMar>
            <w:vAlign w:val="center"/>
          </w:tcPr>
          <w:p w14:paraId="47462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申请人情况</w:t>
            </w:r>
          </w:p>
        </w:tc>
      </w:tr>
      <w:tr w14:paraId="4B0189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6" w:type="dxa"/>
            <w:gridSpan w:val="3"/>
            <w:vMerge w:val="continue"/>
            <w:tcBorders>
              <w:top w:val="single" w:color="auto" w:sz="6" w:space="0"/>
              <w:left w:val="single" w:color="auto" w:sz="6" w:space="0"/>
              <w:bottom w:val="outset" w:color="auto" w:sz="6" w:space="0"/>
              <w:right w:val="single" w:color="auto" w:sz="6" w:space="0"/>
            </w:tcBorders>
            <w:noWrap w:val="0"/>
            <w:tcMar>
              <w:top w:w="0" w:type="dxa"/>
              <w:left w:w="108" w:type="dxa"/>
              <w:bottom w:w="0" w:type="dxa"/>
              <w:right w:w="108" w:type="dxa"/>
            </w:tcMar>
            <w:vAlign w:val="center"/>
          </w:tcPr>
          <w:p w14:paraId="3ECDF319">
            <w:pPr>
              <w:rPr>
                <w:rFonts w:hint="default" w:ascii="Times New Roman" w:hAnsi="Times New Roman" w:cs="Times New Roman"/>
                <w:sz w:val="20"/>
                <w:szCs w:val="20"/>
              </w:rPr>
            </w:pPr>
          </w:p>
        </w:tc>
        <w:tc>
          <w:tcPr>
            <w:tcW w:w="683" w:type="dxa"/>
            <w:vMerge w:val="restart"/>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2F63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自然人</w:t>
            </w:r>
          </w:p>
        </w:tc>
        <w:tc>
          <w:tcPr>
            <w:tcW w:w="3417" w:type="dxa"/>
            <w:gridSpan w:val="5"/>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1F0D5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法人或其他组织</w:t>
            </w:r>
          </w:p>
        </w:tc>
        <w:tc>
          <w:tcPr>
            <w:tcW w:w="683" w:type="dxa"/>
            <w:vMerge w:val="restart"/>
            <w:tcBorders>
              <w:top w:val="single" w:color="auto" w:sz="6" w:space="0"/>
              <w:left w:val="nil"/>
              <w:bottom w:val="outset" w:color="auto" w:sz="6" w:space="0"/>
              <w:right w:val="single" w:color="auto" w:sz="6" w:space="0"/>
            </w:tcBorders>
            <w:noWrap w:val="0"/>
            <w:tcMar>
              <w:top w:w="0" w:type="dxa"/>
              <w:left w:w="108" w:type="dxa"/>
              <w:bottom w:w="0" w:type="dxa"/>
              <w:right w:w="108" w:type="dxa"/>
            </w:tcMar>
            <w:vAlign w:val="center"/>
          </w:tcPr>
          <w:p w14:paraId="23D1D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14:paraId="0EA341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6" w:type="dxa"/>
            <w:gridSpan w:val="3"/>
            <w:vMerge w:val="continue"/>
            <w:tcBorders>
              <w:top w:val="single" w:color="auto" w:sz="6" w:space="0"/>
              <w:left w:val="single" w:color="auto" w:sz="6" w:space="0"/>
              <w:bottom w:val="outset" w:color="auto" w:sz="6" w:space="0"/>
              <w:right w:val="single" w:color="auto" w:sz="6" w:space="0"/>
            </w:tcBorders>
            <w:noWrap w:val="0"/>
            <w:tcMar>
              <w:top w:w="0" w:type="dxa"/>
              <w:left w:w="108" w:type="dxa"/>
              <w:bottom w:w="0" w:type="dxa"/>
              <w:right w:w="108" w:type="dxa"/>
            </w:tcMar>
            <w:vAlign w:val="center"/>
          </w:tcPr>
          <w:p w14:paraId="03E87860">
            <w:pPr>
              <w:rPr>
                <w:rFonts w:hint="default" w:ascii="Times New Roman" w:hAnsi="Times New Roman" w:cs="Times New Roman"/>
                <w:sz w:val="20"/>
                <w:szCs w:val="20"/>
              </w:rPr>
            </w:pPr>
          </w:p>
        </w:tc>
        <w:tc>
          <w:tcPr>
            <w:tcW w:w="683" w:type="dxa"/>
            <w:vMerge w:val="continue"/>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DA81B16">
            <w:pPr>
              <w:rPr>
                <w:rFonts w:hint="default" w:ascii="Times New Roman" w:hAnsi="Times New Roman" w:cs="Times New Roman"/>
                <w:sz w:val="20"/>
                <w:szCs w:val="20"/>
              </w:rPr>
            </w:pPr>
          </w:p>
        </w:tc>
        <w:tc>
          <w:tcPr>
            <w:tcW w:w="683"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3B156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商业</w:t>
            </w:r>
          </w:p>
          <w:p w14:paraId="33B8B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企业</w:t>
            </w:r>
          </w:p>
        </w:tc>
        <w:tc>
          <w:tcPr>
            <w:tcW w:w="683"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7ABAB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科研</w:t>
            </w:r>
          </w:p>
          <w:p w14:paraId="00105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机构</w:t>
            </w:r>
          </w:p>
        </w:tc>
        <w:tc>
          <w:tcPr>
            <w:tcW w:w="683"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66B3A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社会公益组织</w:t>
            </w:r>
          </w:p>
        </w:tc>
        <w:tc>
          <w:tcPr>
            <w:tcW w:w="683"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17BC5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法律服务机构</w:t>
            </w:r>
          </w:p>
        </w:tc>
        <w:tc>
          <w:tcPr>
            <w:tcW w:w="685"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31428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p>
        </w:tc>
        <w:tc>
          <w:tcPr>
            <w:tcW w:w="683" w:type="dxa"/>
            <w:vMerge w:val="continue"/>
            <w:tcBorders>
              <w:top w:val="single" w:color="auto" w:sz="6" w:space="0"/>
              <w:left w:val="nil"/>
              <w:bottom w:val="outset" w:color="auto" w:sz="6" w:space="0"/>
              <w:right w:val="single" w:color="auto" w:sz="6" w:space="0"/>
            </w:tcBorders>
            <w:noWrap w:val="0"/>
            <w:tcMar>
              <w:top w:w="0" w:type="dxa"/>
              <w:left w:w="108" w:type="dxa"/>
              <w:bottom w:w="0" w:type="dxa"/>
              <w:right w:w="108" w:type="dxa"/>
            </w:tcMar>
            <w:vAlign w:val="center"/>
          </w:tcPr>
          <w:p w14:paraId="123F8804">
            <w:pPr>
              <w:rPr>
                <w:rFonts w:hint="default" w:ascii="Times New Roman" w:hAnsi="Times New Roman" w:cs="Times New Roman"/>
                <w:sz w:val="20"/>
                <w:szCs w:val="20"/>
              </w:rPr>
            </w:pPr>
          </w:p>
        </w:tc>
      </w:tr>
      <w:tr w14:paraId="02EEAE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6" w:type="dxa"/>
            <w:gridSpan w:val="3"/>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341C9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一、本年新收政府信息公开申请数量</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AF21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39AD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43EE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D920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9BF0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F4D6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5E499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645D6C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6" w:type="dxa"/>
            <w:gridSpan w:val="3"/>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14B8A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二、上年结转政府信息公开申请数量</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DF22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F11F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3DA1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3527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8B59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DD87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654F1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6A69AC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restart"/>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5FC4F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三、本年度办理结果</w:t>
            </w:r>
          </w:p>
        </w:tc>
        <w:tc>
          <w:tcPr>
            <w:tcW w:w="4135" w:type="dxa"/>
            <w:gridSpan w:val="2"/>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6EEE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（一）予以公开</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DC1E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E142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D482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661FF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393E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11BD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single" w:color="auto" w:sz="6" w:space="0"/>
              <w:left w:val="nil"/>
              <w:bottom w:val="single" w:color="auto" w:sz="6" w:space="0"/>
              <w:right w:val="single" w:color="auto" w:sz="6" w:space="0"/>
            </w:tcBorders>
            <w:noWrap w:val="0"/>
            <w:tcMar>
              <w:top w:w="0" w:type="dxa"/>
              <w:left w:w="57" w:type="dxa"/>
              <w:bottom w:w="0" w:type="dxa"/>
              <w:right w:w="57" w:type="dxa"/>
            </w:tcMar>
            <w:vAlign w:val="top"/>
          </w:tcPr>
          <w:p w14:paraId="2C49D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0EA448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18C9AE63">
            <w:pPr>
              <w:rPr>
                <w:rFonts w:hint="default" w:ascii="Times New Roman" w:hAnsi="Times New Roman" w:cs="Times New Roman"/>
                <w:sz w:val="20"/>
                <w:szCs w:val="20"/>
              </w:rPr>
            </w:pPr>
          </w:p>
        </w:tc>
        <w:tc>
          <w:tcPr>
            <w:tcW w:w="4135" w:type="dxa"/>
            <w:gridSpan w:val="2"/>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9B92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（二）部分公开</w:t>
            </w:r>
            <w:r>
              <w:rPr>
                <w:rFonts w:hint="eastAsia" w:ascii="楷体" w:hAnsi="楷体" w:eastAsia="楷体" w:cs="楷体"/>
                <w:color w:val="000000"/>
                <w:sz w:val="20"/>
                <w:szCs w:val="20"/>
              </w:rPr>
              <w:t>（区分处理的，只计这一情形，不计其他情形）</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FA32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B524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F335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1FEA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286F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97FD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1212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p>
        </w:tc>
      </w:tr>
      <w:tr w14:paraId="7BC3C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68BFD45A">
            <w:pPr>
              <w:rPr>
                <w:rFonts w:hint="default" w:ascii="Times New Roman" w:hAnsi="Times New Roman" w:cs="Times New Roman"/>
                <w:sz w:val="20"/>
                <w:szCs w:val="20"/>
              </w:rPr>
            </w:pPr>
          </w:p>
        </w:tc>
        <w:tc>
          <w:tcPr>
            <w:tcW w:w="936" w:type="dxa"/>
            <w:vMerge w:val="restart"/>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0C41A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（三）不予公开</w:t>
            </w: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483B3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1.属于国家秘密</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47BB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6E69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852E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7FAC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8F0A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2DEE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single" w:color="auto" w:sz="6" w:space="0"/>
              <w:left w:val="nil"/>
              <w:bottom w:val="single" w:color="auto" w:sz="6" w:space="0"/>
              <w:right w:val="single" w:color="auto" w:sz="6" w:space="0"/>
            </w:tcBorders>
            <w:noWrap w:val="0"/>
            <w:tcMar>
              <w:top w:w="0" w:type="dxa"/>
              <w:left w:w="57" w:type="dxa"/>
              <w:bottom w:w="0" w:type="dxa"/>
              <w:right w:w="57" w:type="dxa"/>
            </w:tcMar>
            <w:vAlign w:val="top"/>
          </w:tcPr>
          <w:p w14:paraId="55CEAD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5C786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56DEADE4">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49C8591A">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39EEC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2.其他法律行政法规禁止公开</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7414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D075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93C9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11424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1B53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3F54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26881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2E1AE4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6E52399E">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35B2605D">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6954E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3.危及“三安全一稳定”</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3A19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1A27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13F5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1356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EF00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BD81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3B050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2A197D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34AF2165">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30207EC3">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4D68EF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4.保护第三方合法权益</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DC34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DD31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701F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6B5B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8531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4306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44940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725879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00EE6C86">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53A030DE">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5CBA4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5.属于三类内部事务信息</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010D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0551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B4DE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290E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12B0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39D8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587C2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611BA1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2C9DCA75">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28908C58">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61639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6.属于四类过程性信息</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DF2C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D09E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9AC8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71BC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30C3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818C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38960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1D80F4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7785F553">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1529D16C">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64057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7.属于行政执法案卷</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C481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AB6C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9FE4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789D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AABC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CC8B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75AEE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r>
      <w:tr w14:paraId="3F7C10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79F12AA6">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1621DB6A">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01282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8.属于行政查询事项</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10F7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931D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BFF0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D3CE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135C4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0D28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2A5A8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r>
      <w:tr w14:paraId="59BB4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22848BDD">
            <w:pPr>
              <w:rPr>
                <w:rFonts w:hint="default" w:ascii="Times New Roman" w:hAnsi="Times New Roman" w:cs="Times New Roman"/>
                <w:sz w:val="20"/>
                <w:szCs w:val="20"/>
              </w:rPr>
            </w:pPr>
          </w:p>
        </w:tc>
        <w:tc>
          <w:tcPr>
            <w:tcW w:w="936" w:type="dxa"/>
            <w:vMerge w:val="restart"/>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6E67F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（四）无法提供</w:t>
            </w: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5025E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1.本机关不掌握相关政府信息</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DA2F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603D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6856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B756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0750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4C6C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3F93B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6A9C23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423FE700">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734C4625">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416B2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2.没有现成信息需要另行制作</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2BB4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7B3C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463F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9115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61A7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7FAB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3330D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4A5E0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7BFD67ED">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3CD345D4">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3B8ED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3.补正后申请内容仍不明确</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96AC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FB10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9A66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9082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2694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368C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5D7CE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r>
      <w:tr w14:paraId="241C74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41E15C5A">
            <w:pPr>
              <w:rPr>
                <w:rFonts w:hint="default" w:ascii="Times New Roman" w:hAnsi="Times New Roman" w:cs="Times New Roman"/>
                <w:sz w:val="20"/>
                <w:szCs w:val="20"/>
              </w:rPr>
            </w:pPr>
          </w:p>
        </w:tc>
        <w:tc>
          <w:tcPr>
            <w:tcW w:w="936" w:type="dxa"/>
            <w:vMerge w:val="restart"/>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27357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（五）不予处理</w:t>
            </w: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4F123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1.信访举报投诉类申请</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58E2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8F5D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FA9E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3FDE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B782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B0DD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5708F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0ECCCD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632F2122">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5B43E9A4">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24607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2.重复申请</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5886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5132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909C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F082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2B26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CA52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56D36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36FCF3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750413D6">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31291871">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446E0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3.要求提供公开出版物</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CFEF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2595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63B9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9E53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2FE7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0541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0913C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23103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532DFBC4">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30AC5AF5">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04B1A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4.无正当理由大量反复申请</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7583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BFAB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2CD8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5BA2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5FC3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21AD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top"/>
          </w:tcPr>
          <w:p w14:paraId="1285B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r>
      <w:tr w14:paraId="17DBD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1B578E37">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71E39500">
            <w:pPr>
              <w:rPr>
                <w:rFonts w:hint="default" w:ascii="Times New Roman" w:hAnsi="Times New Roman" w:cs="Times New Roman"/>
                <w:sz w:val="20"/>
                <w:szCs w:val="20"/>
              </w:rPr>
            </w:pPr>
          </w:p>
        </w:tc>
        <w:tc>
          <w:tcPr>
            <w:tcW w:w="3199"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0DD71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5.要求行政机关确认或重新出具已获取信息</w:t>
            </w:r>
          </w:p>
        </w:tc>
        <w:tc>
          <w:tcPr>
            <w:tcW w:w="683"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61783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277EE4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1AB6F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61D65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73C58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1554B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175AA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p>
        </w:tc>
      </w:tr>
      <w:tr w14:paraId="742C2D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7896410A">
            <w:pPr>
              <w:rPr>
                <w:rFonts w:hint="default" w:ascii="Times New Roman" w:hAnsi="Times New Roman" w:cs="Times New Roman"/>
                <w:sz w:val="20"/>
                <w:szCs w:val="20"/>
              </w:rPr>
            </w:pPr>
          </w:p>
        </w:tc>
        <w:tc>
          <w:tcPr>
            <w:tcW w:w="936" w:type="dxa"/>
            <w:vMerge w:val="restart"/>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6D13E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（六）其他处理</w:t>
            </w: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9D58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1.申请人无正当理由逾期不补正、行政机关不再处理其政府信息公开申请</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2DE4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E95E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7763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29E7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5C53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0395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4892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p>
        </w:tc>
      </w:tr>
      <w:tr w14:paraId="64DDE9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2B85A25F">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3B9657D9">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A552E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0"/>
                <w:szCs w:val="20"/>
              </w:rPr>
              <w:t>2.申请人逾期未按收费通知要求缴纳费用、行政机关不再处理其政府信息公开申请</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8DFF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DA35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0A90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E9A8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CB19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253F0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DE05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p>
        </w:tc>
      </w:tr>
      <w:tr w14:paraId="115CC1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4FACB2C6">
            <w:pPr>
              <w:rPr>
                <w:rFonts w:hint="default" w:ascii="Times New Roman" w:hAnsi="Times New Roman" w:cs="Times New Roman"/>
                <w:sz w:val="20"/>
                <w:szCs w:val="20"/>
              </w:rPr>
            </w:pPr>
          </w:p>
        </w:tc>
        <w:tc>
          <w:tcPr>
            <w:tcW w:w="936" w:type="dxa"/>
            <w:vMerge w:val="continue"/>
            <w:tcBorders>
              <w:top w:val="nil"/>
              <w:left w:val="nil"/>
              <w:bottom w:val="outset" w:color="auto" w:sz="6" w:space="0"/>
              <w:right w:val="single" w:color="auto" w:sz="6" w:space="0"/>
            </w:tcBorders>
            <w:noWrap w:val="0"/>
            <w:tcMar>
              <w:top w:w="0" w:type="dxa"/>
              <w:left w:w="57" w:type="dxa"/>
              <w:bottom w:w="0" w:type="dxa"/>
              <w:right w:w="57" w:type="dxa"/>
            </w:tcMar>
            <w:vAlign w:val="center"/>
          </w:tcPr>
          <w:p w14:paraId="6696DDF7">
            <w:pPr>
              <w:rPr>
                <w:rFonts w:hint="default" w:ascii="Times New Roman" w:hAnsi="Times New Roman" w:cs="Times New Roman"/>
                <w:sz w:val="20"/>
                <w:szCs w:val="20"/>
              </w:rPr>
            </w:pPr>
          </w:p>
        </w:tc>
        <w:tc>
          <w:tcPr>
            <w:tcW w:w="3199"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C3BF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3.其他</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69D1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9873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2833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6374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9B14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D0DB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9DC8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p>
        </w:tc>
      </w:tr>
      <w:tr w14:paraId="57D170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61" w:type="dxa"/>
            <w:vMerge w:val="continue"/>
            <w:tcBorders>
              <w:top w:val="nil"/>
              <w:left w:val="single" w:color="auto" w:sz="6" w:space="0"/>
              <w:bottom w:val="outset" w:color="auto" w:sz="6" w:space="0"/>
              <w:right w:val="single" w:color="auto" w:sz="6" w:space="0"/>
            </w:tcBorders>
            <w:noWrap w:val="0"/>
            <w:tcMar>
              <w:top w:w="0" w:type="dxa"/>
              <w:left w:w="57" w:type="dxa"/>
              <w:bottom w:w="0" w:type="dxa"/>
              <w:right w:w="57" w:type="dxa"/>
            </w:tcMar>
            <w:vAlign w:val="center"/>
          </w:tcPr>
          <w:p w14:paraId="3056A096">
            <w:pPr>
              <w:rPr>
                <w:rFonts w:hint="default" w:ascii="Times New Roman" w:hAnsi="Times New Roman" w:cs="Times New Roman"/>
                <w:sz w:val="20"/>
                <w:szCs w:val="20"/>
              </w:rPr>
            </w:pPr>
          </w:p>
        </w:tc>
        <w:tc>
          <w:tcPr>
            <w:tcW w:w="4135" w:type="dxa"/>
            <w:gridSpan w:val="2"/>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AD4E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（七）总计</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3DE5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118E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B7EE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CE88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18AF8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BB3D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0F17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p>
        </w:tc>
      </w:tr>
      <w:tr w14:paraId="6F7325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6" w:type="dxa"/>
            <w:gridSpan w:val="3"/>
            <w:tcBorders>
              <w:top w:val="nil"/>
              <w:left w:val="single" w:color="auto" w:sz="6" w:space="0"/>
              <w:bottom w:val="single" w:color="auto" w:sz="6" w:space="0"/>
              <w:right w:val="single" w:color="auto" w:sz="6" w:space="0"/>
            </w:tcBorders>
            <w:noWrap w:val="0"/>
            <w:tcMar>
              <w:top w:w="0" w:type="dxa"/>
              <w:left w:w="57" w:type="dxa"/>
              <w:bottom w:w="0" w:type="dxa"/>
              <w:right w:w="57" w:type="dxa"/>
            </w:tcMar>
            <w:vAlign w:val="center"/>
          </w:tcPr>
          <w:p w14:paraId="48298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四、结转下年度继续办理</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321D3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5ADA4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4ECC9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6C9A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68180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color w:val="000000"/>
                <w:sz w:val="20"/>
                <w:szCs w:val="20"/>
              </w:rPr>
              <w:t> </w:t>
            </w:r>
            <w:r>
              <w:rPr>
                <w:rFonts w:hint="default" w:ascii="Calibri" w:hAnsi="Calibri" w:eastAsia="仿宋_GB2312" w:cs="Calibri"/>
                <w:color w:val="000000"/>
                <w:sz w:val="20"/>
                <w:szCs w:val="20"/>
              </w:rPr>
              <w:t>0</w:t>
            </w:r>
          </w:p>
        </w:tc>
        <w:tc>
          <w:tcPr>
            <w:tcW w:w="685"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095D6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仿宋_GB2312" w:cs="Calibri"/>
                <w:color w:val="000000"/>
                <w:sz w:val="20"/>
                <w:szCs w:val="20"/>
              </w:rPr>
              <w:t>0</w:t>
            </w:r>
            <w:r>
              <w:rPr>
                <w:rFonts w:hint="default" w:ascii="Calibri" w:hAnsi="Calibri" w:cs="Calibri"/>
                <w:color w:val="000000"/>
                <w:sz w:val="20"/>
                <w:szCs w:val="20"/>
              </w:rPr>
              <w:t> </w:t>
            </w:r>
          </w:p>
        </w:tc>
        <w:tc>
          <w:tcPr>
            <w:tcW w:w="683" w:type="dxa"/>
            <w:tcBorders>
              <w:top w:val="nil"/>
              <w:left w:val="nil"/>
              <w:bottom w:val="single" w:color="auto" w:sz="6" w:space="0"/>
              <w:right w:val="single" w:color="auto" w:sz="6" w:space="0"/>
            </w:tcBorders>
            <w:noWrap w:val="0"/>
            <w:tcMar>
              <w:top w:w="0" w:type="dxa"/>
              <w:left w:w="57" w:type="dxa"/>
              <w:bottom w:w="0" w:type="dxa"/>
              <w:right w:w="57" w:type="dxa"/>
            </w:tcMar>
            <w:vAlign w:val="center"/>
          </w:tcPr>
          <w:p w14:paraId="79C34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4"/>
                <w:szCs w:val="24"/>
              </w:rPr>
              <w:t>0</w:t>
            </w:r>
          </w:p>
        </w:tc>
      </w:tr>
    </w:tbl>
    <w:p w14:paraId="04DC5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color="auto" w:fill="FFFFFF"/>
        </w:rPr>
        <w:t> </w:t>
      </w:r>
    </w:p>
    <w:p w14:paraId="43753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2"/>
          <w:szCs w:val="32"/>
          <w:shd w:val="clear" w:color="auto" w:fill="FFFFFF"/>
        </w:rPr>
        <w:t>四、政府信息公开行政复议、行政诉讼情况</w:t>
      </w: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69382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3245" w:type="dxa"/>
            <w:gridSpan w:val="5"/>
            <w:tcBorders>
              <w:top w:val="single" w:color="auto" w:sz="6" w:space="0"/>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44228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行政复议</w:t>
            </w:r>
          </w:p>
        </w:tc>
        <w:tc>
          <w:tcPr>
            <w:tcW w:w="6498" w:type="dxa"/>
            <w:gridSpan w:val="10"/>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5A9EE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行政诉讼</w:t>
            </w:r>
          </w:p>
        </w:tc>
      </w:tr>
      <w:tr w14:paraId="1444F6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49" w:type="dxa"/>
            <w:vMerge w:val="restart"/>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10AEB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结果维持</w:t>
            </w:r>
          </w:p>
        </w:tc>
        <w:tc>
          <w:tcPr>
            <w:tcW w:w="649" w:type="dxa"/>
            <w:vMerge w:val="restart"/>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2F650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49" w:type="dxa"/>
            <w:vMerge w:val="restart"/>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3BB3B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49" w:type="dxa"/>
            <w:vMerge w:val="restart"/>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168EB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49" w:type="dxa"/>
            <w:vMerge w:val="restart"/>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7E1B0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3248" w:type="dxa"/>
            <w:gridSpan w:val="5"/>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74B7C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未经复议直接起诉</w:t>
            </w:r>
          </w:p>
        </w:tc>
        <w:tc>
          <w:tcPr>
            <w:tcW w:w="3250" w:type="dxa"/>
            <w:gridSpan w:val="5"/>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73816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复议后起诉</w:t>
            </w:r>
          </w:p>
        </w:tc>
      </w:tr>
      <w:tr w14:paraId="72EC54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49" w:type="dxa"/>
            <w:vMerge w:val="continue"/>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2A22EAF4">
            <w:pPr>
              <w:rPr>
                <w:rFonts w:hint="default" w:ascii="Times New Roman" w:hAnsi="Times New Roman" w:cs="Times New Roman"/>
                <w:sz w:val="20"/>
                <w:szCs w:val="20"/>
              </w:rPr>
            </w:pPr>
          </w:p>
        </w:tc>
        <w:tc>
          <w:tcPr>
            <w:tcW w:w="649" w:type="dxa"/>
            <w:vMerge w:val="continue"/>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4F4A7D3A">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04392800">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6B7DCC70">
            <w:pPr>
              <w:rPr>
                <w:rFonts w:hint="default" w:ascii="Times New Roman" w:hAnsi="Times New Roman" w:cs="Times New Roman"/>
                <w:sz w:val="20"/>
                <w:szCs w:val="20"/>
              </w:rPr>
            </w:pPr>
          </w:p>
        </w:tc>
        <w:tc>
          <w:tcPr>
            <w:tcW w:w="649" w:type="dxa"/>
            <w:vMerge w:val="continue"/>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29C2FB8A">
            <w:pPr>
              <w:rPr>
                <w:rFonts w:hint="default" w:ascii="Times New Roman" w:hAnsi="Times New Roman" w:cs="Times New Roman"/>
                <w:sz w:val="20"/>
                <w:szCs w:val="20"/>
              </w:rPr>
            </w:pP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7134E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3F092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66BD3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537E9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4ABAB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07EB2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维持</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5D50B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结果</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纠正</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6F528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2F509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尚未</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审结</w:t>
            </w:r>
          </w:p>
        </w:tc>
        <w:tc>
          <w:tcPr>
            <w:tcW w:w="650"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14:paraId="26E04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14:paraId="4376F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49" w:type="dxa"/>
            <w:tcBorders>
              <w:top w:val="nil"/>
              <w:left w:val="single" w:color="auto" w:sz="6" w:space="0"/>
              <w:bottom w:val="single" w:color="auto" w:sz="6" w:space="0"/>
              <w:right w:val="single" w:color="auto" w:sz="6" w:space="0"/>
            </w:tcBorders>
            <w:noWrap w:val="0"/>
            <w:tcMar>
              <w:top w:w="0" w:type="dxa"/>
              <w:left w:w="108" w:type="dxa"/>
              <w:bottom w:w="0" w:type="dxa"/>
              <w:right w:w="108" w:type="dxa"/>
            </w:tcMar>
            <w:vAlign w:val="center"/>
          </w:tcPr>
          <w:p w14:paraId="3C6CC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0 </w:t>
            </w: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0161D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73178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23B39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6A5D2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61BB0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49"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10279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20A49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0445E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592F9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7EC53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4AF0C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3FB4D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eastAsia" w:ascii="黑体" w:hAnsi="宋体" w:eastAsia="黑体" w:cs="黑体"/>
                <w:color w:val="000000"/>
                <w:sz w:val="20"/>
                <w:szCs w:val="20"/>
              </w:rPr>
              <w:t>0</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18874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color w:val="000000"/>
                <w:sz w:val="20"/>
                <w:szCs w:val="20"/>
              </w:rPr>
              <w:t>0</w:t>
            </w:r>
            <w:r>
              <w:rPr>
                <w:rFonts w:hint="eastAsia" w:ascii="宋体" w:hAnsi="宋体" w:eastAsia="宋体" w:cs="宋体"/>
                <w:color w:val="000000"/>
                <w:sz w:val="20"/>
                <w:szCs w:val="20"/>
              </w:rPr>
              <w:t> </w:t>
            </w:r>
          </w:p>
        </w:tc>
        <w:tc>
          <w:tcPr>
            <w:tcW w:w="650" w:type="dxa"/>
            <w:tcBorders>
              <w:top w:val="nil"/>
              <w:left w:val="nil"/>
              <w:bottom w:val="single" w:color="auto" w:sz="6" w:space="0"/>
              <w:right w:val="single" w:color="auto" w:sz="6" w:space="0"/>
            </w:tcBorders>
            <w:noWrap w:val="0"/>
            <w:tcMar>
              <w:top w:w="0" w:type="dxa"/>
              <w:left w:w="108" w:type="dxa"/>
              <w:bottom w:w="0" w:type="dxa"/>
              <w:right w:w="108" w:type="dxa"/>
            </w:tcMar>
            <w:vAlign w:val="center"/>
          </w:tcPr>
          <w:p w14:paraId="3277E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color w:val="000000"/>
                <w:sz w:val="24"/>
                <w:szCs w:val="24"/>
              </w:rPr>
              <w:t>0</w:t>
            </w:r>
          </w:p>
        </w:tc>
      </w:tr>
    </w:tbl>
    <w:p w14:paraId="3929EFE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五、存在的主要问题及改进情况</w:t>
      </w:r>
    </w:p>
    <w:p w14:paraId="3EDAA1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楷体_GB2312" w:hAnsi="宋体" w:eastAsia="楷体_GB2312" w:cs="楷体_GB2312"/>
          <w:i w:val="0"/>
          <w:iCs w:val="0"/>
          <w:caps w:val="0"/>
          <w:color w:val="000000"/>
          <w:spacing w:val="0"/>
          <w:kern w:val="0"/>
          <w:sz w:val="32"/>
          <w:szCs w:val="32"/>
          <w:lang w:val="en-US" w:eastAsia="zh-CN" w:bidi="ar"/>
        </w:rPr>
        <w:t>（一）上年度存在问题整改情况</w:t>
      </w:r>
      <w:r>
        <w:rPr>
          <w:rFonts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宋体" w:eastAsia="仿宋_GB2312" w:cs="仿宋_GB2312"/>
          <w:i w:val="0"/>
          <w:iCs w:val="0"/>
          <w:caps w:val="0"/>
          <w:color w:val="000000"/>
          <w:spacing w:val="0"/>
          <w:kern w:val="0"/>
          <w:sz w:val="32"/>
          <w:szCs w:val="32"/>
          <w:lang w:val="en-US" w:eastAsia="zh-CN" w:bidi="ar"/>
        </w:rPr>
        <w:t>市重点工程处针对上年度政务公开工作开展的实际情况，紧抓工作调度、细化工作举措、强力推动整改到</w:t>
      </w:r>
      <w:r>
        <w:rPr>
          <w:rFonts w:hint="eastAsia" w:ascii="仿宋_GB2312" w:hAnsi="宋体" w:eastAsia="仿宋_GB2312" w:cs="仿宋_GB2312"/>
          <w:i w:val="0"/>
          <w:iCs w:val="0"/>
          <w:caps w:val="0"/>
          <w:color w:val="auto"/>
          <w:spacing w:val="0"/>
          <w:kern w:val="0"/>
          <w:sz w:val="32"/>
          <w:szCs w:val="32"/>
          <w:lang w:val="en-US" w:eastAsia="zh-CN" w:bidi="ar"/>
        </w:rPr>
        <w:t>位，针对“重点工程项目参建企业相关文件信息公开内容不够及时”问题，通过优化工作流程，建立“及时采集、当日审核、次日发布”的快速响应模式，确保涉企相关文件信息及时公开。针对“科室协调配合的政务公开工作机制还需要进一步优化”和“政务公开整体工作质效上还需要加强”问题，年初印发《六安市重点工程建设管理处2025年度政务公开责任分解》，明确政务公开工作任务、内容要求、分管领导、责任科室，形成责任明确、齐抓共管的工作格局；组织全处政务公开培训，加强全处干部职工公开意识，强化技术知识储备和实践运用能力，不断提升政务公开工作质效。</w:t>
      </w:r>
    </w:p>
    <w:p w14:paraId="284858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楷体_GB2312" w:hAnsi="宋体" w:eastAsia="楷体_GB2312" w:cs="楷体_GB2312"/>
          <w:i w:val="0"/>
          <w:iCs w:val="0"/>
          <w:caps w:val="0"/>
          <w:color w:val="000000"/>
          <w:spacing w:val="0"/>
          <w:kern w:val="0"/>
          <w:sz w:val="32"/>
          <w:szCs w:val="32"/>
          <w:lang w:val="en-US" w:eastAsia="zh-CN" w:bidi="ar"/>
        </w:rPr>
        <w:t>（二）主要存在问题</w:t>
      </w:r>
      <w:r>
        <w:rPr>
          <w:rFonts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宋体" w:eastAsia="仿宋_GB2312" w:cs="仿宋_GB2312"/>
          <w:i w:val="0"/>
          <w:iCs w:val="0"/>
          <w:caps w:val="0"/>
          <w:color w:val="000000"/>
          <w:spacing w:val="0"/>
          <w:kern w:val="0"/>
          <w:sz w:val="32"/>
          <w:szCs w:val="32"/>
          <w:lang w:val="en-US" w:eastAsia="zh-CN" w:bidi="ar"/>
        </w:rPr>
        <w:t>2025年市重点工程处深化工作落实，紧抓工作推进，政务公开工作取得了一定成效，但对照高标准、严要求，还存在项目建设全生命周期公开内容不够充实；主动回应社会关切的收集、回应效率需提高；具体经办政务公开工作人员的专业水平需要加强等问题。</w:t>
      </w:r>
    </w:p>
    <w:p w14:paraId="4FED9E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楷体_GB2312" w:hAnsi="宋体" w:eastAsia="楷体_GB2312" w:cs="楷体_GB2312"/>
          <w:i w:val="0"/>
          <w:iCs w:val="0"/>
          <w:caps w:val="0"/>
          <w:color w:val="000000"/>
          <w:spacing w:val="0"/>
          <w:kern w:val="0"/>
          <w:sz w:val="32"/>
          <w:szCs w:val="32"/>
          <w:lang w:val="en-US" w:eastAsia="zh-CN" w:bidi="ar"/>
        </w:rPr>
        <w:t>（三）下一步改进举措</w:t>
      </w:r>
      <w:r>
        <w:rPr>
          <w:rFonts w:ascii="仿宋_GB2312" w:hAnsi="宋体" w:eastAsia="仿宋_GB2312" w:cs="仿宋_GB2312"/>
          <w:i w:val="0"/>
          <w:iCs w:val="0"/>
          <w:caps w:val="0"/>
          <w:color w:val="000000"/>
          <w:spacing w:val="0"/>
          <w:kern w:val="0"/>
          <w:sz w:val="32"/>
          <w:szCs w:val="32"/>
          <w:lang w:val="en-US" w:eastAsia="zh-CN" w:bidi="ar"/>
        </w:rPr>
        <w:t>。</w:t>
      </w:r>
      <w:r>
        <w:rPr>
          <w:rFonts w:hint="eastAsia" w:ascii="仿宋_GB2312" w:hAnsi="宋体" w:eastAsia="仿宋_GB2312" w:cs="仿宋_GB2312"/>
          <w:i w:val="0"/>
          <w:iCs w:val="0"/>
          <w:caps w:val="0"/>
          <w:color w:val="000000"/>
          <w:spacing w:val="0"/>
          <w:kern w:val="0"/>
          <w:sz w:val="32"/>
          <w:szCs w:val="32"/>
          <w:lang w:val="en-US" w:eastAsia="zh-CN" w:bidi="ar"/>
        </w:rPr>
        <w:t>下一步，我处将从以下几个方面全力做好政务公开各项工作：一是根据职能情况，要求各科室准确、及时和全面报送项目建设动态，积极展示重点工程形象，重点公开与群众切身利益密切相关的在建工程项目，特别是加大交通导改、工程形象与进展、群众关切、竣工验收等环节的信息公开力度；二是加强政务公开专业学习主动性，强化政务信息公开工作建设，提升信息公开的广度与深度，提升服务水平；三是进一步强化栏目信息发布管理，严格对照第三方检查反馈问题清单，认真梳理，做到全面自查整改，保证政务信息发布规范性、及时性和科学性。</w:t>
      </w:r>
    </w:p>
    <w:p w14:paraId="4F13DD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2"/>
          <w:szCs w:val="32"/>
          <w:shd w:val="clear" w:color="auto" w:fill="FFFFFF"/>
        </w:rPr>
        <w:t>六、其他需要报告的事项</w:t>
      </w:r>
    </w:p>
    <w:p w14:paraId="2C1C7C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2"/>
          <w:szCs w:val="32"/>
          <w:shd w:val="clear" w:color="auto" w:fill="FFFFFF"/>
        </w:rPr>
        <w:t>按照《国务院办公厅关于印发〈政府信息公开信息处理费管理办法〉的通知》（国办函〔</w:t>
      </w:r>
      <w:r>
        <w:rPr>
          <w:rFonts w:hint="eastAsia" w:ascii="仿宋_GB2312" w:hAnsi="Calibri" w:eastAsia="仿宋_GB2312" w:cs="仿宋_GB2312"/>
          <w:i w:val="0"/>
          <w:iCs w:val="0"/>
          <w:caps w:val="0"/>
          <w:color w:val="000000"/>
          <w:spacing w:val="0"/>
          <w:sz w:val="32"/>
          <w:szCs w:val="32"/>
          <w:shd w:val="clear" w:color="auto" w:fill="FFFFFF"/>
        </w:rPr>
        <w:t>2020〕109号）规定的按件、按量收费标准，本年度没有产生信息公开处理费。</w:t>
      </w:r>
    </w:p>
    <w:p w14:paraId="56A9218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14:paraId="3F04D82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14:paraId="155A78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B31A3"/>
    <w:multiLevelType w:val="singleLevel"/>
    <w:tmpl w:val="EADB31A3"/>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D654E"/>
    <w:rsid w:val="0C354561"/>
    <w:rsid w:val="13971C01"/>
    <w:rsid w:val="13DF35B8"/>
    <w:rsid w:val="17FD37DF"/>
    <w:rsid w:val="1FCA144E"/>
    <w:rsid w:val="25C64D2A"/>
    <w:rsid w:val="2E70537D"/>
    <w:rsid w:val="2FB7E574"/>
    <w:rsid w:val="2FFA84C8"/>
    <w:rsid w:val="3773BD59"/>
    <w:rsid w:val="3BFF41E9"/>
    <w:rsid w:val="3D44CC27"/>
    <w:rsid w:val="3DE9F0B8"/>
    <w:rsid w:val="3EBF0E62"/>
    <w:rsid w:val="3FA76767"/>
    <w:rsid w:val="4E9F21EE"/>
    <w:rsid w:val="4FFE782A"/>
    <w:rsid w:val="52FFA8AC"/>
    <w:rsid w:val="55FB0A13"/>
    <w:rsid w:val="5FA47BBB"/>
    <w:rsid w:val="67F7DB84"/>
    <w:rsid w:val="6B7C4298"/>
    <w:rsid w:val="6DD85DC6"/>
    <w:rsid w:val="6F0F2EA3"/>
    <w:rsid w:val="6FA162A5"/>
    <w:rsid w:val="73BB5206"/>
    <w:rsid w:val="75FB7EC7"/>
    <w:rsid w:val="77D7B046"/>
    <w:rsid w:val="78ED8B58"/>
    <w:rsid w:val="7DF70353"/>
    <w:rsid w:val="7DF7D5D9"/>
    <w:rsid w:val="7E043517"/>
    <w:rsid w:val="7E77D8A1"/>
    <w:rsid w:val="7EFD6FBE"/>
    <w:rsid w:val="7FBF2712"/>
    <w:rsid w:val="7FE1B7CA"/>
    <w:rsid w:val="7FEF6ED3"/>
    <w:rsid w:val="7FFA49D1"/>
    <w:rsid w:val="97F65946"/>
    <w:rsid w:val="A6FF5CF1"/>
    <w:rsid w:val="B0F7BF43"/>
    <w:rsid w:val="BFD50793"/>
    <w:rsid w:val="CADD5394"/>
    <w:rsid w:val="D7AFAACE"/>
    <w:rsid w:val="DF3F00AC"/>
    <w:rsid w:val="DFCA6836"/>
    <w:rsid w:val="DFED12A2"/>
    <w:rsid w:val="DFEEE5EC"/>
    <w:rsid w:val="E7FB6BFA"/>
    <w:rsid w:val="EA55832C"/>
    <w:rsid w:val="EAFFAD62"/>
    <w:rsid w:val="EBB9E88B"/>
    <w:rsid w:val="EEFEB4F9"/>
    <w:rsid w:val="EF694D00"/>
    <w:rsid w:val="F4FB6713"/>
    <w:rsid w:val="F9FD2CD8"/>
    <w:rsid w:val="FACAE36C"/>
    <w:rsid w:val="FBFB7EF9"/>
    <w:rsid w:val="FDE3F5A0"/>
    <w:rsid w:val="FFBF6193"/>
    <w:rsid w:val="FFCD654E"/>
    <w:rsid w:val="FFDFFED2"/>
    <w:rsid w:val="FFF2F223"/>
    <w:rsid w:val="FFF9B4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1429</Words>
  <Characters>1486</Characters>
  <Lines>0</Lines>
  <Paragraphs>0</Paragraphs>
  <TotalTime>64</TotalTime>
  <ScaleCrop>false</ScaleCrop>
  <LinksUpToDate>false</LinksUpToDate>
  <CharactersWithSpaces>1501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2026-01-22T08:43:00Z</dcterms:created>
  <dc:creator>administrator</dc:creator>
  <cp:lastModifiedBy>administrator</cp:lastModifiedBy>
  <cp:lastPrinted>2026-01-23T12:03:46Z</cp:lastPrinted>
  <dcterms:modified xsi:type="dcterms:W3CDTF">2026-01-23T12:35:26Z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6D3C82DAE8534AB9927D06C4B0FAD57F_13</vt:lpwstr>
  </property>
  <property fmtid="{D5CDD505-2E9C-101B-9397-08002B2CF9AE}" pid="4" name="KSOTemplateDocerSaveRecord">
    <vt:lpwstr>eyJoZGlkIjoiNjg5ZjgzYTlhNDViYmZkOWY4NDE4Yjg0NzAwNmI3YjMiLCJ1c2VySWQiOiIyOTQ1ODI1NTkifQ==</vt:lpwstr>
  </property>
</Properties>
</file>