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CC86A">
      <w:pPr>
        <w:tabs>
          <w:tab w:val="left" w:pos="1339"/>
        </w:tabs>
        <w:jc w:val="center"/>
        <w:rPr>
          <w:rFonts w:hint="eastAsia" w:ascii="隶书" w:eastAsia="隶书"/>
          <w:b/>
          <w:bCs/>
          <w:color w:val="auto"/>
          <w:spacing w:val="-4"/>
          <w:sz w:val="84"/>
          <w:szCs w:val="84"/>
          <w:highlight w:val="none"/>
        </w:rPr>
      </w:pPr>
    </w:p>
    <w:p w14:paraId="054C0732">
      <w:pPr>
        <w:tabs>
          <w:tab w:val="left" w:pos="1339"/>
        </w:tabs>
        <w:jc w:val="center"/>
        <w:rPr>
          <w:rFonts w:hint="eastAsia" w:ascii="隶书" w:eastAsia="隶书"/>
          <w:b/>
          <w:bCs/>
          <w:color w:val="auto"/>
          <w:spacing w:val="-4"/>
          <w:sz w:val="84"/>
          <w:szCs w:val="84"/>
          <w:highlight w:val="none"/>
        </w:rPr>
      </w:pPr>
    </w:p>
    <w:p w14:paraId="43DD1498">
      <w:pPr>
        <w:tabs>
          <w:tab w:val="left" w:pos="1339"/>
        </w:tabs>
        <w:jc w:val="center"/>
        <w:rPr>
          <w:rFonts w:hint="eastAsia" w:ascii="隶书" w:eastAsia="隶书"/>
          <w:b/>
          <w:bCs/>
          <w:color w:val="auto"/>
          <w:spacing w:val="-4"/>
          <w:sz w:val="84"/>
          <w:szCs w:val="84"/>
          <w:highlight w:val="none"/>
        </w:rPr>
      </w:pPr>
    </w:p>
    <w:p w14:paraId="6AA4071A">
      <w:pPr>
        <w:tabs>
          <w:tab w:val="left" w:pos="1339"/>
        </w:tabs>
        <w:jc w:val="center"/>
        <w:rPr>
          <w:rFonts w:hint="eastAsia" w:ascii="隶书" w:eastAsia="隶书"/>
          <w:b/>
          <w:bCs/>
          <w:color w:val="auto"/>
          <w:spacing w:val="-4"/>
          <w:sz w:val="84"/>
          <w:szCs w:val="84"/>
          <w:highlight w:val="none"/>
        </w:rPr>
      </w:pPr>
    </w:p>
    <w:p w14:paraId="6172DCE7">
      <w:pPr>
        <w:tabs>
          <w:tab w:val="left" w:pos="1339"/>
        </w:tabs>
        <w:jc w:val="center"/>
        <w:rPr>
          <w:rFonts w:hint="eastAsia" w:ascii="方正小标宋简体" w:hAnsi="华文中宋" w:eastAsia="方正小标宋简体"/>
          <w:bCs/>
          <w:color w:val="auto"/>
          <w:spacing w:val="-4"/>
          <w:sz w:val="56"/>
          <w:szCs w:val="72"/>
          <w:highlight w:val="none"/>
          <w:lang w:val="en-US" w:eastAsia="zh-CN"/>
        </w:rPr>
      </w:pPr>
      <w:bookmarkStart w:id="0" w:name="_GoBack"/>
      <w:r>
        <w:rPr>
          <w:rFonts w:hint="eastAsia" w:ascii="方正小标宋简体" w:hAnsi="华文中宋" w:eastAsia="方正小标宋简体"/>
          <w:bCs/>
          <w:color w:val="auto"/>
          <w:spacing w:val="-4"/>
          <w:sz w:val="56"/>
          <w:szCs w:val="72"/>
          <w:highlight w:val="none"/>
        </w:rPr>
        <w:t>六安市</w:t>
      </w:r>
      <w:r>
        <w:rPr>
          <w:rFonts w:hint="eastAsia" w:ascii="方正小标宋简体" w:hAnsi="华文中宋" w:eastAsia="方正小标宋简体"/>
          <w:bCs/>
          <w:color w:val="auto"/>
          <w:spacing w:val="-4"/>
          <w:sz w:val="56"/>
          <w:szCs w:val="72"/>
          <w:highlight w:val="none"/>
          <w:lang w:eastAsia="zh-CN"/>
        </w:rPr>
        <w:t>重点工程建设管理处</w:t>
      </w:r>
    </w:p>
    <w:p w14:paraId="7DDC8353">
      <w:pPr>
        <w:tabs>
          <w:tab w:val="left" w:pos="1339"/>
        </w:tabs>
        <w:jc w:val="center"/>
        <w:rPr>
          <w:rFonts w:hint="eastAsia" w:ascii="方正小标宋简体" w:hAnsi="华文中宋" w:eastAsia="方正小标宋简体"/>
          <w:bCs/>
          <w:color w:val="auto"/>
          <w:spacing w:val="-4"/>
          <w:sz w:val="56"/>
          <w:szCs w:val="72"/>
          <w:highlight w:val="none"/>
          <w:lang w:eastAsia="zh-CN"/>
        </w:rPr>
      </w:pPr>
      <w:r>
        <w:rPr>
          <w:rFonts w:hint="eastAsia" w:ascii="方正小标宋简体" w:hAnsi="华文中宋" w:eastAsia="方正小标宋简体"/>
          <w:bCs/>
          <w:color w:val="auto"/>
          <w:spacing w:val="-4"/>
          <w:sz w:val="56"/>
          <w:szCs w:val="72"/>
          <w:highlight w:val="none"/>
          <w:lang w:eastAsia="zh-CN"/>
        </w:rPr>
        <w:t>202</w:t>
      </w:r>
      <w:r>
        <w:rPr>
          <w:rFonts w:hint="eastAsia" w:ascii="方正小标宋简体" w:hAnsi="华文中宋" w:eastAsia="方正小标宋简体"/>
          <w:bCs/>
          <w:color w:val="auto"/>
          <w:spacing w:val="-4"/>
          <w:sz w:val="56"/>
          <w:szCs w:val="72"/>
          <w:highlight w:val="none"/>
          <w:lang w:val="en-US" w:eastAsia="zh-CN"/>
        </w:rPr>
        <w:t>3</w:t>
      </w:r>
      <w:r>
        <w:rPr>
          <w:rFonts w:hint="eastAsia" w:ascii="方正小标宋简体" w:hAnsi="华文中宋" w:eastAsia="方正小标宋简体"/>
          <w:bCs/>
          <w:color w:val="auto"/>
          <w:spacing w:val="-4"/>
          <w:sz w:val="56"/>
          <w:szCs w:val="72"/>
          <w:highlight w:val="none"/>
        </w:rPr>
        <w:t>年</w:t>
      </w:r>
      <w:r>
        <w:rPr>
          <w:rFonts w:hint="eastAsia" w:ascii="方正小标宋简体" w:hAnsi="华文中宋" w:eastAsia="方正小标宋简体"/>
          <w:bCs/>
          <w:color w:val="auto"/>
          <w:spacing w:val="-4"/>
          <w:sz w:val="56"/>
          <w:szCs w:val="72"/>
          <w:highlight w:val="none"/>
          <w:u w:val="none"/>
          <w:lang w:eastAsia="zh-CN"/>
        </w:rPr>
        <w:t>部门</w:t>
      </w:r>
      <w:r>
        <w:rPr>
          <w:rFonts w:hint="eastAsia" w:ascii="方正小标宋简体" w:hAnsi="华文中宋" w:eastAsia="方正小标宋简体"/>
          <w:bCs/>
          <w:color w:val="auto"/>
          <w:spacing w:val="-4"/>
          <w:sz w:val="56"/>
          <w:szCs w:val="72"/>
          <w:highlight w:val="none"/>
        </w:rPr>
        <w:t>预算</w:t>
      </w:r>
    </w:p>
    <w:bookmarkEnd w:id="0"/>
    <w:p w14:paraId="2989BEB1">
      <w:pPr>
        <w:tabs>
          <w:tab w:val="left" w:pos="1339"/>
        </w:tabs>
        <w:rPr>
          <w:rFonts w:hint="eastAsia" w:ascii="黑体" w:eastAsia="黑体"/>
          <w:color w:val="auto"/>
          <w:spacing w:val="-4"/>
          <w:sz w:val="36"/>
          <w:highlight w:val="none"/>
        </w:rPr>
      </w:pPr>
    </w:p>
    <w:p w14:paraId="0D500F1E">
      <w:pPr>
        <w:tabs>
          <w:tab w:val="left" w:pos="1339"/>
        </w:tabs>
        <w:rPr>
          <w:rFonts w:hint="eastAsia" w:ascii="黑体" w:eastAsia="黑体"/>
          <w:color w:val="auto"/>
          <w:spacing w:val="-4"/>
          <w:sz w:val="36"/>
          <w:highlight w:val="none"/>
        </w:rPr>
      </w:pPr>
    </w:p>
    <w:p w14:paraId="7130286F">
      <w:pPr>
        <w:tabs>
          <w:tab w:val="left" w:pos="1339"/>
        </w:tabs>
        <w:rPr>
          <w:rFonts w:hint="eastAsia" w:ascii="黑体" w:eastAsia="黑体"/>
          <w:color w:val="auto"/>
          <w:spacing w:val="-4"/>
          <w:sz w:val="36"/>
          <w:highlight w:val="none"/>
        </w:rPr>
      </w:pPr>
    </w:p>
    <w:p w14:paraId="0E950A1D">
      <w:pPr>
        <w:tabs>
          <w:tab w:val="left" w:pos="1339"/>
        </w:tabs>
        <w:rPr>
          <w:rFonts w:hint="eastAsia" w:ascii="黑体" w:eastAsia="黑体"/>
          <w:color w:val="auto"/>
          <w:spacing w:val="-4"/>
          <w:sz w:val="36"/>
          <w:highlight w:val="none"/>
        </w:rPr>
      </w:pPr>
    </w:p>
    <w:p w14:paraId="019988B6">
      <w:pPr>
        <w:tabs>
          <w:tab w:val="left" w:pos="1339"/>
        </w:tabs>
        <w:rPr>
          <w:rFonts w:hint="eastAsia" w:ascii="黑体" w:eastAsia="黑体"/>
          <w:color w:val="auto"/>
          <w:spacing w:val="-4"/>
          <w:sz w:val="36"/>
          <w:highlight w:val="none"/>
        </w:rPr>
      </w:pPr>
    </w:p>
    <w:p w14:paraId="3C176405">
      <w:pPr>
        <w:tabs>
          <w:tab w:val="left" w:pos="1339"/>
        </w:tabs>
        <w:jc w:val="center"/>
        <w:rPr>
          <w:rFonts w:hint="eastAsia" w:ascii="华文中宋" w:hAnsi="华文中宋" w:eastAsia="华文中宋"/>
          <w:bCs/>
          <w:color w:val="auto"/>
          <w:spacing w:val="-4"/>
          <w:sz w:val="52"/>
          <w:szCs w:val="52"/>
          <w:highlight w:val="none"/>
        </w:rPr>
      </w:pPr>
    </w:p>
    <w:p w14:paraId="50ABA049">
      <w:pPr>
        <w:jc w:val="both"/>
        <w:rPr>
          <w:rFonts w:hint="eastAsia" w:ascii="方正小标宋简体" w:hAnsi="仿宋" w:eastAsia="方正小标宋简体"/>
          <w:color w:val="auto"/>
          <w:sz w:val="44"/>
          <w:szCs w:val="44"/>
          <w:highlight w:val="none"/>
        </w:rPr>
      </w:pPr>
    </w:p>
    <w:p w14:paraId="4B7BD91B">
      <w:pPr>
        <w:jc w:val="center"/>
        <w:rPr>
          <w:rFonts w:hint="eastAsia" w:ascii="方正小标宋简体" w:hAnsi="仿宋" w:eastAsia="方正小标宋简体"/>
          <w:color w:val="auto"/>
          <w:sz w:val="44"/>
          <w:szCs w:val="44"/>
          <w:highlight w:val="none"/>
        </w:rPr>
      </w:pPr>
    </w:p>
    <w:p w14:paraId="2E7AB1C9">
      <w:pPr>
        <w:pStyle w:val="5"/>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highlight w:val="none"/>
          <w14:textFill>
            <w14:solidFill>
              <w14:schemeClr w14:val="tx1"/>
            </w14:solidFill>
          </w14:textFill>
        </w:rPr>
      </w:pPr>
    </w:p>
    <w:p w14:paraId="225FF1BD">
      <w:pPr>
        <w:spacing w:line="44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r>
        <w:rPr>
          <w:rFonts w:ascii="Times New Roman" w:hAnsi="Times New Roman" w:eastAsia="方正小标宋简体"/>
          <w:color w:val="000000" w:themeColor="text1"/>
          <w:sz w:val="44"/>
          <w:szCs w:val="44"/>
          <w:highlight w:val="none"/>
          <w14:textFill>
            <w14:solidFill>
              <w14:schemeClr w14:val="tx1"/>
            </w14:solidFill>
          </w14:textFill>
        </w:rPr>
        <w:t>目    录</w:t>
      </w:r>
    </w:p>
    <w:p w14:paraId="5EFF0D02">
      <w:pPr>
        <w:spacing w:line="44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13F0EDA0">
      <w:pPr>
        <w:spacing w:before="156" w:beforeLines="50" w:line="560" w:lineRule="exact"/>
        <w:ind w:firstLine="565" w:firstLineChars="176"/>
        <w:jc w:val="left"/>
        <w:rPr>
          <w:rFonts w:ascii="Times New Roman" w:hAnsi="Times New Roman" w:eastAsia="仿宋_GB2312"/>
          <w:b/>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14:textFill>
            <w14:solidFill>
              <w14:schemeClr w14:val="tx1"/>
            </w14:solidFill>
          </w14:textFill>
        </w:rPr>
        <w:t>第一部分</w:t>
      </w:r>
      <w:r>
        <w:rPr>
          <w:rFonts w:hint="eastAsia" w:ascii="Times New Roman" w:hAnsi="Times New Roman" w:eastAsia="仿宋_GB2312"/>
          <w:b/>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b/>
          <w:color w:val="000000" w:themeColor="text1"/>
          <w:sz w:val="32"/>
          <w:szCs w:val="32"/>
          <w:highlight w:val="none"/>
          <w:u w:val="none"/>
          <w:lang w:eastAsia="zh-CN"/>
          <w14:textFill>
            <w14:solidFill>
              <w14:schemeClr w14:val="tx1"/>
            </w14:solidFill>
          </w14:textFill>
        </w:rPr>
        <w:t>部门</w:t>
      </w:r>
      <w:r>
        <w:rPr>
          <w:rFonts w:ascii="Times New Roman" w:hAnsi="Times New Roman" w:eastAsia="仿宋_GB2312"/>
          <w:b/>
          <w:color w:val="000000" w:themeColor="text1"/>
          <w:sz w:val="32"/>
          <w:szCs w:val="32"/>
          <w:highlight w:val="none"/>
          <w14:textFill>
            <w14:solidFill>
              <w14:schemeClr w14:val="tx1"/>
            </w14:solidFill>
          </w14:textFill>
        </w:rPr>
        <w:t>概况</w:t>
      </w:r>
    </w:p>
    <w:p w14:paraId="738A12D7">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主要</w:t>
      </w:r>
      <w:r>
        <w:rPr>
          <w:rFonts w:ascii="Times New Roman" w:hAnsi="Times New Roman" w:eastAsia="仿宋_GB2312"/>
          <w:color w:val="000000" w:themeColor="text1"/>
          <w:sz w:val="32"/>
          <w:szCs w:val="32"/>
          <w:highlight w:val="none"/>
          <w14:textFill>
            <w14:solidFill>
              <w14:schemeClr w14:val="tx1"/>
            </w14:solidFill>
          </w14:textFill>
        </w:rPr>
        <w:t>职责</w:t>
      </w:r>
    </w:p>
    <w:p w14:paraId="20724BC5">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2.</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部门</w:t>
      </w:r>
      <w:r>
        <w:rPr>
          <w:rFonts w:ascii="Times New Roman" w:hAnsi="Times New Roman" w:eastAsia="仿宋_GB2312"/>
          <w:color w:val="000000" w:themeColor="text1"/>
          <w:sz w:val="32"/>
          <w:szCs w:val="32"/>
          <w:highlight w:val="none"/>
          <w14:textFill>
            <w14:solidFill>
              <w14:schemeClr w14:val="tx1"/>
            </w14:solidFill>
          </w14:textFill>
        </w:rPr>
        <w:t>预算构成</w:t>
      </w:r>
    </w:p>
    <w:p w14:paraId="0442BE5C">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3.</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年</w:t>
      </w:r>
      <w:r>
        <w:rPr>
          <w:rFonts w:ascii="Times New Roman" w:hAnsi="Times New Roman" w:eastAsia="仿宋_GB2312"/>
          <w:color w:val="000000" w:themeColor="text1"/>
          <w:sz w:val="32"/>
          <w:szCs w:val="32"/>
          <w:highlight w:val="none"/>
          <w14:textFill>
            <w14:solidFill>
              <w14:schemeClr w14:val="tx1"/>
            </w14:solidFill>
          </w14:textFill>
        </w:rPr>
        <w:t>度主要工作任务</w:t>
      </w:r>
    </w:p>
    <w:p w14:paraId="75B6C7FE">
      <w:pPr>
        <w:spacing w:line="560" w:lineRule="exact"/>
        <w:ind w:firstLine="565" w:firstLineChars="176"/>
        <w:jc w:val="left"/>
        <w:rPr>
          <w:rFonts w:ascii="Times New Roman" w:hAnsi="Times New Roman" w:eastAsia="仿宋_GB2312"/>
          <w:b/>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14:textFill>
            <w14:solidFill>
              <w14:schemeClr w14:val="tx1"/>
            </w14:solidFill>
          </w14:textFill>
        </w:rPr>
        <w:t>第二部分</w:t>
      </w:r>
      <w:r>
        <w:rPr>
          <w:rFonts w:hint="eastAsia" w:ascii="Times New Roman" w:hAnsi="Times New Roman" w:eastAsia="仿宋_GB2312"/>
          <w:b/>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202</w:t>
      </w:r>
      <w:r>
        <w:rPr>
          <w:rFonts w:hint="eastAsia" w:ascii="Times New Roman" w:hAnsi="Times New Roman" w:eastAsia="仿宋_GB2312"/>
          <w:b/>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年</w:t>
      </w:r>
      <w:r>
        <w:rPr>
          <w:rFonts w:ascii="Times New Roman" w:hAnsi="Times New Roman" w:eastAsia="仿宋_GB2312"/>
          <w:b/>
          <w:color w:val="000000" w:themeColor="text1"/>
          <w:sz w:val="32"/>
          <w:szCs w:val="32"/>
          <w:highlight w:val="none"/>
          <w14:textFill>
            <w14:solidFill>
              <w14:schemeClr w14:val="tx1"/>
            </w14:solidFill>
          </w14:textFill>
        </w:rPr>
        <w:t>预算</w:t>
      </w:r>
      <w:r>
        <w:rPr>
          <w:rFonts w:hint="eastAsia" w:ascii="Times New Roman" w:hAnsi="Times New Roman" w:eastAsia="仿宋_GB2312"/>
          <w:b/>
          <w:color w:val="000000" w:themeColor="text1"/>
          <w:sz w:val="32"/>
          <w:szCs w:val="32"/>
          <w:highlight w:val="none"/>
          <w14:textFill>
            <w14:solidFill>
              <w14:schemeClr w14:val="tx1"/>
            </w14:solidFill>
          </w14:textFill>
        </w:rPr>
        <w:t>报</w:t>
      </w:r>
      <w:r>
        <w:rPr>
          <w:rFonts w:ascii="Times New Roman" w:hAnsi="Times New Roman" w:eastAsia="仿宋_GB2312"/>
          <w:b/>
          <w:color w:val="000000" w:themeColor="text1"/>
          <w:sz w:val="32"/>
          <w:szCs w:val="32"/>
          <w:highlight w:val="none"/>
          <w14:textFill>
            <w14:solidFill>
              <w14:schemeClr w14:val="tx1"/>
            </w14:solidFill>
          </w14:textFill>
        </w:rPr>
        <w:t>表</w:t>
      </w:r>
    </w:p>
    <w:p w14:paraId="4A4BB0C2">
      <w:pPr>
        <w:spacing w:line="560" w:lineRule="exact"/>
        <w:ind w:firstLine="563" w:firstLineChars="176"/>
        <w:jc w:val="left"/>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收支总表</w:t>
      </w:r>
    </w:p>
    <w:p w14:paraId="5258643B">
      <w:pPr>
        <w:numPr>
          <w:ilvl w:val="0"/>
          <w:numId w:val="1"/>
        </w:num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收入总表</w:t>
      </w:r>
    </w:p>
    <w:p w14:paraId="447CE2A3">
      <w:pPr>
        <w:numPr>
          <w:ilvl w:val="0"/>
          <w:numId w:val="1"/>
        </w:numPr>
        <w:spacing w:line="560" w:lineRule="exact"/>
        <w:ind w:left="0" w:leftChars="0" w:firstLine="563" w:firstLineChars="176"/>
        <w:jc w:val="left"/>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支出总表</w:t>
      </w:r>
    </w:p>
    <w:p w14:paraId="767BC981">
      <w:pPr>
        <w:numPr>
          <w:ilvl w:val="0"/>
          <w:numId w:val="1"/>
        </w:numPr>
        <w:spacing w:line="560" w:lineRule="exact"/>
        <w:ind w:left="0" w:leftChars="0"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财政拨款收支总表</w:t>
      </w:r>
    </w:p>
    <w:p w14:paraId="69F9888F">
      <w:pPr>
        <w:numPr>
          <w:ilvl w:val="0"/>
          <w:numId w:val="1"/>
        </w:numPr>
        <w:spacing w:line="560" w:lineRule="exact"/>
        <w:ind w:left="0" w:leftChars="0"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一般公共预算支出表</w:t>
      </w:r>
    </w:p>
    <w:p w14:paraId="01F0C550">
      <w:pPr>
        <w:numPr>
          <w:ilvl w:val="0"/>
          <w:numId w:val="1"/>
        </w:numPr>
        <w:spacing w:line="560" w:lineRule="exact"/>
        <w:ind w:left="0" w:leftChars="0"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一般公共预算基本支出表</w:t>
      </w:r>
    </w:p>
    <w:p w14:paraId="52508606">
      <w:pPr>
        <w:numPr>
          <w:ilvl w:val="0"/>
          <w:numId w:val="1"/>
        </w:numPr>
        <w:spacing w:line="560" w:lineRule="exact"/>
        <w:ind w:left="0" w:leftChars="0"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政府性基金预算支出表</w:t>
      </w:r>
    </w:p>
    <w:p w14:paraId="5F802ADC">
      <w:pPr>
        <w:numPr>
          <w:ilvl w:val="0"/>
          <w:numId w:val="1"/>
        </w:numPr>
        <w:spacing w:line="560" w:lineRule="exact"/>
        <w:ind w:left="0" w:leftChars="0"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国有资本经营预算支出表</w:t>
      </w:r>
    </w:p>
    <w:p w14:paraId="3F0101FA">
      <w:p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9.</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基本支出总表</w:t>
      </w:r>
    </w:p>
    <w:p w14:paraId="70956B6B">
      <w:p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14:textFill>
            <w14:solidFill>
              <w14:schemeClr w14:val="tx1"/>
            </w14:solidFill>
          </w14:textFill>
        </w:rPr>
        <w:t>10.</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u w:val="none"/>
          <w14:textFill>
            <w14:solidFill>
              <w14:schemeClr w14:val="tx1"/>
            </w14:solidFill>
          </w14:textFill>
        </w:rPr>
        <w:t>项目</w:t>
      </w:r>
      <w:r>
        <w:rPr>
          <w:rFonts w:ascii="Times New Roman" w:hAnsi="Times New Roman" w:eastAsia="仿宋_GB2312"/>
          <w:color w:val="000000" w:themeColor="text1"/>
          <w:sz w:val="32"/>
          <w:szCs w:val="32"/>
          <w:highlight w:val="none"/>
          <w:u w:val="none"/>
          <w14:textFill>
            <w14:solidFill>
              <w14:schemeClr w14:val="tx1"/>
            </w14:solidFill>
          </w14:textFill>
        </w:rPr>
        <w:t>支出总表</w:t>
      </w:r>
    </w:p>
    <w:p w14:paraId="2B77A6C4">
      <w:p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14:textFill>
            <w14:solidFill>
              <w14:schemeClr w14:val="tx1"/>
            </w14:solidFill>
          </w14:textFill>
        </w:rPr>
        <w:t>1</w:t>
      </w:r>
      <w:r>
        <w:rPr>
          <w:rFonts w:ascii="Times New Roman" w:hAnsi="Times New Roman"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政府采购支出表</w:t>
      </w:r>
    </w:p>
    <w:p w14:paraId="77A5EA64">
      <w:p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14:textFill>
            <w14:solidFill>
              <w14:schemeClr w14:val="tx1"/>
            </w14:solidFill>
          </w14:textFill>
        </w:rPr>
        <w:t>2</w:t>
      </w:r>
      <w:r>
        <w:rPr>
          <w:rFonts w:ascii="Times New Roman" w:hAnsi="Times New Roman"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政府购买服务支出表</w:t>
      </w:r>
    </w:p>
    <w:p w14:paraId="5DAEBD9F">
      <w:p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3</w:t>
      </w:r>
      <w:r>
        <w:rPr>
          <w:rFonts w:ascii="Times New Roman" w:hAnsi="Times New Roman"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“三公”经费支出预算表</w:t>
      </w:r>
    </w:p>
    <w:p w14:paraId="4D1268BD">
      <w:pPr>
        <w:spacing w:line="560" w:lineRule="exact"/>
        <w:ind w:firstLine="563" w:firstLineChars="176"/>
        <w:jc w:val="left"/>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4</w:t>
      </w:r>
      <w:r>
        <w:rPr>
          <w:rFonts w:ascii="Times New Roman" w:hAnsi="Times New Roman"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项目支出绩效目标表</w:t>
      </w:r>
    </w:p>
    <w:p w14:paraId="7A4ED4B0">
      <w:pPr>
        <w:spacing w:line="560" w:lineRule="exact"/>
        <w:ind w:firstLine="565" w:firstLineChars="176"/>
        <w:jc w:val="left"/>
        <w:rPr>
          <w:rFonts w:ascii="Times New Roman" w:hAnsi="Times New Roman" w:eastAsia="仿宋_GB2312"/>
          <w:b/>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u w:val="none"/>
          <w14:textFill>
            <w14:solidFill>
              <w14:schemeClr w14:val="tx1"/>
            </w14:solidFill>
          </w14:textFill>
        </w:rPr>
        <w:t>第三部分</w:t>
      </w:r>
      <w:r>
        <w:rPr>
          <w:rFonts w:hint="eastAsia" w:ascii="Times New Roman" w:hAnsi="Times New Roman" w:eastAsia="仿宋_GB2312"/>
          <w:b/>
          <w:color w:val="000000" w:themeColor="text1"/>
          <w:sz w:val="32"/>
          <w:szCs w:val="32"/>
          <w:highlight w:val="none"/>
          <w:u w:val="none"/>
          <w14:textFill>
            <w14:solidFill>
              <w14:schemeClr w14:val="tx1"/>
            </w14:solidFill>
          </w14:textFill>
        </w:rPr>
        <w:t xml:space="preserve">  </w:t>
      </w:r>
      <w:r>
        <w:rPr>
          <w:rFonts w:hint="eastAsia" w:ascii="Times New Roman" w:hAnsi="Times New Roman" w:eastAsia="仿宋_GB2312"/>
          <w:b/>
          <w:color w:val="000000" w:themeColor="text1"/>
          <w:sz w:val="32"/>
          <w:szCs w:val="32"/>
          <w:highlight w:val="none"/>
          <w:u w:val="none"/>
          <w:lang w:eastAsia="zh-CN"/>
          <w14:textFill>
            <w14:solidFill>
              <w14:schemeClr w14:val="tx1"/>
            </w14:solidFill>
          </w14:textFill>
        </w:rPr>
        <w:t>2023年部门</w:t>
      </w:r>
      <w:r>
        <w:rPr>
          <w:rFonts w:ascii="Times New Roman" w:hAnsi="Times New Roman" w:eastAsia="仿宋_GB2312"/>
          <w:b/>
          <w:color w:val="000000" w:themeColor="text1"/>
          <w:sz w:val="32"/>
          <w:szCs w:val="32"/>
          <w:highlight w:val="none"/>
          <w14:textFill>
            <w14:solidFill>
              <w14:schemeClr w14:val="tx1"/>
            </w14:solidFill>
          </w14:textFill>
        </w:rPr>
        <w:t>预算情况说明</w:t>
      </w:r>
    </w:p>
    <w:p w14:paraId="30ADA0CC">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收支总表的说明</w:t>
      </w:r>
    </w:p>
    <w:p w14:paraId="67569B66">
      <w:pPr>
        <w:spacing w:line="560" w:lineRule="exact"/>
        <w:ind w:firstLine="563" w:firstLineChars="176"/>
        <w:jc w:val="left"/>
        <w:rPr>
          <w:rFonts w:hint="eastAsia"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2.</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收入总表的说明</w:t>
      </w:r>
    </w:p>
    <w:p w14:paraId="6579D618">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3.</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支出总表的说明</w:t>
      </w:r>
    </w:p>
    <w:p w14:paraId="03FC48EA">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4.</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财政拨款收支总表的说明</w:t>
      </w:r>
    </w:p>
    <w:p w14:paraId="1E07D779">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一般公共预算支出表的说明</w:t>
      </w:r>
    </w:p>
    <w:p w14:paraId="0C7E3B79">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6.</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一般公共预算基本支出表的说明</w:t>
      </w:r>
    </w:p>
    <w:p w14:paraId="60BE456E">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7.</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政府性基金预算支出表的说明</w:t>
      </w:r>
    </w:p>
    <w:p w14:paraId="7F939E6B">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8.</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国有资本经营预算支出表的说明</w:t>
      </w:r>
    </w:p>
    <w:p w14:paraId="3061FC82">
      <w:pPr>
        <w:spacing w:line="560" w:lineRule="exact"/>
        <w:ind w:firstLine="563" w:firstLineChars="176"/>
        <w:jc w:val="left"/>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9.</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项目支出表的说明</w:t>
      </w:r>
    </w:p>
    <w:p w14:paraId="684B1A99">
      <w:pPr>
        <w:spacing w:line="560" w:lineRule="exact"/>
        <w:ind w:firstLine="563" w:firstLineChars="176"/>
        <w:jc w:val="left"/>
        <w:rPr>
          <w:rFonts w:hint="eastAsia"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政府采购支出表的说明</w:t>
      </w:r>
    </w:p>
    <w:p w14:paraId="2555D254">
      <w:pPr>
        <w:spacing w:line="560" w:lineRule="exact"/>
        <w:ind w:firstLine="563" w:firstLineChars="176"/>
        <w:jc w:val="left"/>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仿宋_GB2312"/>
          <w:color w:val="000000" w:themeColor="text1"/>
          <w:sz w:val="32"/>
          <w:szCs w:val="32"/>
          <w:highlight w:val="none"/>
          <w14:textFill>
            <w14:solidFill>
              <w14:schemeClr w14:val="tx1"/>
            </w14:solidFill>
          </w14:textFill>
        </w:rPr>
        <w:t>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政府购买服务支出表的说明</w:t>
      </w:r>
    </w:p>
    <w:p w14:paraId="455D4E5F">
      <w:pPr>
        <w:spacing w:line="560" w:lineRule="exact"/>
        <w:ind w:firstLine="563" w:firstLineChars="176"/>
        <w:jc w:val="left"/>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12.关于2023年“三公”经费支出预算情况说明</w:t>
      </w:r>
    </w:p>
    <w:p w14:paraId="00254FEC">
      <w:pPr>
        <w:spacing w:line="560" w:lineRule="exact"/>
        <w:ind w:firstLine="563" w:firstLineChars="176"/>
        <w:jc w:val="left"/>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13.其他重要事项情况说明</w:t>
      </w:r>
    </w:p>
    <w:p w14:paraId="6BEB9006">
      <w:pPr>
        <w:spacing w:line="560" w:lineRule="exact"/>
        <w:ind w:firstLine="565" w:firstLineChars="176"/>
        <w:jc w:val="left"/>
        <w:rPr>
          <w:rFonts w:ascii="Times New Roman" w:hAnsi="Times New Roman" w:eastAsia="仿宋_GB2312"/>
          <w:b/>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14:textFill>
            <w14:solidFill>
              <w14:schemeClr w14:val="tx1"/>
            </w14:solidFill>
          </w14:textFill>
        </w:rPr>
        <w:t>第</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四</w:t>
      </w:r>
      <w:r>
        <w:rPr>
          <w:rFonts w:ascii="Times New Roman" w:hAnsi="Times New Roman" w:eastAsia="仿宋_GB2312"/>
          <w:b/>
          <w:color w:val="000000" w:themeColor="text1"/>
          <w:sz w:val="32"/>
          <w:szCs w:val="32"/>
          <w:highlight w:val="none"/>
          <w14:textFill>
            <w14:solidFill>
              <w14:schemeClr w14:val="tx1"/>
            </w14:solidFill>
          </w14:textFill>
        </w:rPr>
        <w:t>部分 名词解释</w:t>
      </w:r>
    </w:p>
    <w:p w14:paraId="22C800C2">
      <w:pPr>
        <w:spacing w:line="58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1BD000CB">
      <w:pPr>
        <w:spacing w:line="58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52022B7E">
      <w:pPr>
        <w:spacing w:line="58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556B795F">
      <w:pPr>
        <w:spacing w:line="58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499B5FAF">
      <w:pPr>
        <w:spacing w:line="580" w:lineRule="exact"/>
        <w:jc w:val="center"/>
        <w:rPr>
          <w:rFonts w:ascii="Times New Roman" w:hAnsi="Times New Roman" w:eastAsia="方正小标宋简体"/>
          <w:color w:val="000000" w:themeColor="text1"/>
          <w:sz w:val="44"/>
          <w:szCs w:val="44"/>
          <w:highlight w:val="none"/>
          <w14:textFill>
            <w14:solidFill>
              <w14:schemeClr w14:val="tx1"/>
            </w14:solidFill>
          </w14:textFill>
        </w:rPr>
      </w:pPr>
    </w:p>
    <w:p w14:paraId="13583D73">
      <w:pPr>
        <w:numPr>
          <w:ilvl w:val="0"/>
          <w:numId w:val="2"/>
        </w:numPr>
        <w:spacing w:line="560" w:lineRule="exact"/>
        <w:jc w:val="center"/>
        <w:rPr>
          <w:rFonts w:ascii="Times New Roman" w:hAnsi="Times New Roman" w:eastAsia="黑体"/>
          <w:color w:val="000000" w:themeColor="text1"/>
          <w:sz w:val="36"/>
          <w:szCs w:val="36"/>
          <w:highlight w:val="none"/>
          <w14:textFill>
            <w14:solidFill>
              <w14:schemeClr w14:val="tx1"/>
            </w14:solidFill>
          </w14:textFill>
        </w:rPr>
      </w:pPr>
      <w:r>
        <w:rPr>
          <w:rFonts w:ascii="Times New Roman" w:hAnsi="Times New Roman" w:eastAsia="黑体"/>
          <w:color w:val="000000" w:themeColor="text1"/>
          <w:sz w:val="36"/>
          <w:szCs w:val="36"/>
          <w:highlight w:val="none"/>
          <w14:textFill>
            <w14:solidFill>
              <w14:schemeClr w14:val="tx1"/>
            </w14:solidFill>
          </w14:textFill>
        </w:rPr>
        <w:t xml:space="preserve"> </w:t>
      </w:r>
      <w:r>
        <w:rPr>
          <w:rFonts w:hint="eastAsia" w:ascii="Times New Roman" w:hAnsi="Times New Roman" w:eastAsia="黑体"/>
          <w:color w:val="000000" w:themeColor="text1"/>
          <w:sz w:val="36"/>
          <w:szCs w:val="36"/>
          <w:highlight w:val="none"/>
          <w:u w:val="none"/>
          <w:lang w:eastAsia="zh-CN"/>
          <w14:textFill>
            <w14:solidFill>
              <w14:schemeClr w14:val="tx1"/>
            </w14:solidFill>
          </w14:textFill>
        </w:rPr>
        <w:t>部门</w:t>
      </w:r>
      <w:r>
        <w:rPr>
          <w:rFonts w:ascii="Times New Roman" w:hAnsi="Times New Roman" w:eastAsia="黑体"/>
          <w:color w:val="000000" w:themeColor="text1"/>
          <w:sz w:val="36"/>
          <w:szCs w:val="36"/>
          <w:highlight w:val="none"/>
          <w14:textFill>
            <w14:solidFill>
              <w14:schemeClr w14:val="tx1"/>
            </w14:solidFill>
          </w14:textFill>
        </w:rPr>
        <w:t>概况</w:t>
      </w:r>
    </w:p>
    <w:p w14:paraId="174D451A">
      <w:pPr>
        <w:numPr>
          <w:ilvl w:val="0"/>
          <w:numId w:val="0"/>
        </w:numPr>
        <w:spacing w:line="560" w:lineRule="exact"/>
        <w:jc w:val="both"/>
        <w:rPr>
          <w:rFonts w:ascii="Times New Roman" w:hAnsi="Times New Roman" w:eastAsia="黑体"/>
          <w:color w:val="000000" w:themeColor="text1"/>
          <w:sz w:val="36"/>
          <w:szCs w:val="36"/>
          <w:highlight w:val="none"/>
          <w14:textFill>
            <w14:solidFill>
              <w14:schemeClr w14:val="tx1"/>
            </w14:solidFill>
          </w14:textFill>
        </w:rPr>
      </w:pPr>
    </w:p>
    <w:p w14:paraId="0273AFEC">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一、</w:t>
      </w:r>
      <w:r>
        <w:rPr>
          <w:rFonts w:hint="eastAsia" w:ascii="Times New Roman" w:hAnsi="Times New Roman" w:eastAsia="黑体"/>
          <w:color w:val="000000" w:themeColor="text1"/>
          <w:sz w:val="32"/>
          <w:szCs w:val="32"/>
          <w:highlight w:val="none"/>
          <w:lang w:eastAsia="zh-CN"/>
          <w14:textFill>
            <w14:solidFill>
              <w14:schemeClr w14:val="tx1"/>
            </w14:solidFill>
          </w14:textFill>
        </w:rPr>
        <w:t>主要</w:t>
      </w:r>
      <w:r>
        <w:rPr>
          <w:rFonts w:ascii="Times New Roman" w:hAnsi="Times New Roman" w:eastAsia="黑体"/>
          <w:color w:val="000000" w:themeColor="text1"/>
          <w:sz w:val="32"/>
          <w:szCs w:val="32"/>
          <w:highlight w:val="none"/>
          <w14:textFill>
            <w14:solidFill>
              <w14:schemeClr w14:val="tx1"/>
            </w14:solidFill>
          </w14:textFill>
        </w:rPr>
        <w:t>职责</w:t>
      </w:r>
    </w:p>
    <w:p w14:paraId="054B3C30">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根据六办〔2019〕26号文件规定，六安市重点工程建设管理处部门主要职责是：</w:t>
      </w:r>
    </w:p>
    <w:p w14:paraId="373E5E2A">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（一）负责市政府投资的城市基础设施项目、公益性社会事业项目和市政府确定的其他重点工程项目建设。</w:t>
      </w:r>
    </w:p>
    <w:p w14:paraId="10148C1A">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（二）参与重点工程建设项目前期谋划、中心城市建设中长期规划（计划）编制、年度建设计划、投资预算编制工作。</w:t>
      </w:r>
    </w:p>
    <w:p w14:paraId="7686F92A">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（三）负责按项目建设进度审核工程量并提出拨付工程款意见，督促项目竣工结算，组织工程项目竣工验收和移交工作；负责代建项目工程款拨付。</w:t>
      </w:r>
    </w:p>
    <w:p w14:paraId="164B289F">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（四）履行建设单位工程建设管理相关职责。</w:t>
      </w:r>
    </w:p>
    <w:p w14:paraId="61049398">
      <w:pPr>
        <w:pStyle w:val="5"/>
        <w:widowControl w:val="0"/>
        <w:adjustRightInd w:val="0"/>
        <w:snapToGrid w:val="0"/>
        <w:spacing w:before="0" w:beforeAutospacing="0" w:after="0" w:afterAutospacing="0" w:line="560" w:lineRule="exact"/>
        <w:ind w:firstLine="784" w:firstLineChars="245"/>
        <w:jc w:val="both"/>
        <w:rPr>
          <w:rFonts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（五）承办市政府交办的其他事项。</w:t>
      </w:r>
    </w:p>
    <w:p w14:paraId="1176C0F6">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二、</w:t>
      </w:r>
      <w:r>
        <w:rPr>
          <w:rFonts w:hint="eastAsia" w:ascii="Times New Roman" w:hAnsi="Times New Roman" w:eastAsia="黑体"/>
          <w:color w:val="000000" w:themeColor="text1"/>
          <w:sz w:val="32"/>
          <w:szCs w:val="32"/>
          <w:highlight w:val="none"/>
          <w:u w:val="none"/>
          <w:lang w:eastAsia="zh-CN"/>
          <w14:textFill>
            <w14:solidFill>
              <w14:schemeClr w14:val="tx1"/>
            </w14:solidFill>
          </w14:textFill>
        </w:rPr>
        <w:t>部门</w:t>
      </w:r>
      <w:r>
        <w:rPr>
          <w:rFonts w:ascii="Times New Roman" w:hAnsi="Times New Roman" w:eastAsia="黑体"/>
          <w:color w:val="000000" w:themeColor="text1"/>
          <w:sz w:val="32"/>
          <w:szCs w:val="32"/>
          <w:highlight w:val="none"/>
          <w14:textFill>
            <w14:solidFill>
              <w14:schemeClr w14:val="tx1"/>
            </w14:solidFill>
          </w14:textFill>
        </w:rPr>
        <w:t>预算构成</w:t>
      </w:r>
    </w:p>
    <w:p w14:paraId="76F23B2D">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度</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部门</w:t>
      </w:r>
      <w:r>
        <w:rPr>
          <w:rFonts w:ascii="Times New Roman" w:hAnsi="Times New Roman" w:eastAsia="仿宋_GB2312"/>
          <w:color w:val="000000" w:themeColor="text1"/>
          <w:sz w:val="32"/>
          <w:szCs w:val="32"/>
          <w:highlight w:val="none"/>
          <w:u w:val="none"/>
          <w14:textFill>
            <w14:solidFill>
              <w14:schemeClr w14:val="tx1"/>
            </w14:solidFill>
          </w14:textFill>
        </w:rPr>
        <w:t>预算为</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处</w:t>
      </w:r>
      <w:r>
        <w:rPr>
          <w:rFonts w:ascii="Times New Roman" w:hAnsi="Times New Roman" w:eastAsia="仿宋_GB2312"/>
          <w:color w:val="000000" w:themeColor="text1"/>
          <w:sz w:val="32"/>
          <w:szCs w:val="32"/>
          <w:highlight w:val="none"/>
          <w:u w:val="none"/>
          <w14:textFill>
            <w14:solidFill>
              <w14:schemeClr w14:val="tx1"/>
            </w14:solidFill>
          </w14:textFill>
        </w:rPr>
        <w:t>本级预算，纳入</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部门</w:t>
      </w:r>
      <w:r>
        <w:rPr>
          <w:rFonts w:ascii="Times New Roman" w:hAnsi="Times New Roman" w:eastAsia="仿宋_GB2312"/>
          <w:color w:val="000000" w:themeColor="text1"/>
          <w:sz w:val="32"/>
          <w:szCs w:val="32"/>
          <w:highlight w:val="none"/>
          <w:u w:val="none"/>
          <w14:textFill>
            <w14:solidFill>
              <w14:schemeClr w14:val="tx1"/>
            </w14:solidFill>
          </w14:textFill>
        </w:rPr>
        <w:t>预算编制范围的单位共1个，单位性质为</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公益一类事业</w:t>
      </w:r>
      <w:r>
        <w:rPr>
          <w:rFonts w:ascii="Times New Roman" w:hAnsi="Times New Roman" w:eastAsia="仿宋_GB2312"/>
          <w:color w:val="000000" w:themeColor="text1"/>
          <w:sz w:val="32"/>
          <w:szCs w:val="32"/>
          <w:highlight w:val="none"/>
          <w:u w:val="none"/>
          <w14:textFill>
            <w14:solidFill>
              <w14:schemeClr w14:val="tx1"/>
            </w14:solidFill>
          </w14:textFill>
        </w:rPr>
        <w:t>单位</w:t>
      </w:r>
      <w:r>
        <w:rPr>
          <w:rFonts w:ascii="Times New Roman" w:hAnsi="Times New Roman" w:eastAsia="仿宋_GB2312"/>
          <w:color w:val="000000" w:themeColor="text1"/>
          <w:sz w:val="32"/>
          <w:szCs w:val="32"/>
          <w:highlight w:val="none"/>
          <w14:textFill>
            <w14:solidFill>
              <w14:schemeClr w14:val="tx1"/>
            </w14:solidFill>
          </w14:textFill>
        </w:rPr>
        <w:t>。截至</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12月，</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lang w:val="en"/>
          <w14:textFill>
            <w14:solidFill>
              <w14:schemeClr w14:val="tx1"/>
            </w14:solidFill>
          </w14:textFill>
        </w:rPr>
        <w:t>重点工程建设管理处</w:t>
      </w:r>
      <w:r>
        <w:rPr>
          <w:rFonts w:ascii="Times New Roman" w:hAnsi="Times New Roman" w:eastAsia="仿宋_GB2312"/>
          <w:color w:val="000000" w:themeColor="text1"/>
          <w:sz w:val="32"/>
          <w:szCs w:val="32"/>
          <w:highlight w:val="none"/>
          <w14:textFill>
            <w14:solidFill>
              <w14:schemeClr w14:val="tx1"/>
            </w14:solidFill>
          </w14:textFill>
        </w:rPr>
        <w:t>实有各类人</w:t>
      </w:r>
      <w:r>
        <w:rPr>
          <w:rFonts w:ascii="Times New Roman" w:hAnsi="Times New Roman" w:eastAsia="仿宋_GB2312"/>
          <w:color w:val="000000" w:themeColor="text1"/>
          <w:sz w:val="32"/>
          <w:szCs w:val="32"/>
          <w:highlight w:val="none"/>
          <w:u w:val="none"/>
          <w14:textFill>
            <w14:solidFill>
              <w14:schemeClr w14:val="tx1"/>
            </w14:solidFill>
          </w14:textFill>
        </w:rPr>
        <w:t>员</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46</w:t>
      </w:r>
      <w:r>
        <w:rPr>
          <w:rFonts w:ascii="Times New Roman" w:hAnsi="Times New Roman" w:eastAsia="仿宋_GB2312"/>
          <w:color w:val="000000" w:themeColor="text1"/>
          <w:sz w:val="32"/>
          <w:szCs w:val="32"/>
          <w:highlight w:val="none"/>
          <w:u w:val="none"/>
          <w14:textFill>
            <w14:solidFill>
              <w14:schemeClr w14:val="tx1"/>
            </w14:solidFill>
          </w14:textFill>
        </w:rPr>
        <w:t xml:space="preserve">人，其中在职 </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44</w:t>
      </w:r>
      <w:r>
        <w:rPr>
          <w:rFonts w:ascii="Times New Roman" w:hAnsi="Times New Roman" w:eastAsia="仿宋_GB2312"/>
          <w:color w:val="000000" w:themeColor="text1"/>
          <w:sz w:val="32"/>
          <w:szCs w:val="32"/>
          <w:highlight w:val="none"/>
          <w:u w:val="none"/>
          <w14:textFill>
            <w14:solidFill>
              <w14:schemeClr w14:val="tx1"/>
            </w14:solidFill>
          </w14:textFill>
        </w:rPr>
        <w:t>人、离休</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u w:val="none"/>
          <w14:textFill>
            <w14:solidFill>
              <w14:schemeClr w14:val="tx1"/>
            </w14:solidFill>
          </w14:textFill>
        </w:rPr>
        <w:t>人、退休</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2</w:t>
      </w:r>
      <w:r>
        <w:rPr>
          <w:rFonts w:ascii="Times New Roman" w:hAnsi="Times New Roman" w:eastAsia="仿宋_GB2312"/>
          <w:color w:val="000000" w:themeColor="text1"/>
          <w:sz w:val="32"/>
          <w:szCs w:val="32"/>
          <w:highlight w:val="none"/>
          <w:u w:val="none"/>
          <w14:textFill>
            <w14:solidFill>
              <w14:schemeClr w14:val="tx1"/>
            </w14:solidFill>
          </w14:textFill>
        </w:rPr>
        <w:t>人。</w:t>
      </w:r>
    </w:p>
    <w:p w14:paraId="02113019">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三、</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度主要工作任务</w:t>
      </w:r>
    </w:p>
    <w:p w14:paraId="506F6B7E">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1．全面推进重点工程建设，确保完成年度投资计划</w:t>
      </w:r>
    </w:p>
    <w:p w14:paraId="662AC464">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2．深入开展基层党建工作，推动党风廉政建设</w:t>
      </w:r>
    </w:p>
    <w:p w14:paraId="6148811C">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3．切实做好“双创”工作，顺利实现“双创”目标</w:t>
      </w:r>
    </w:p>
    <w:p w14:paraId="1BDA5E2D">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4．重点抓好安全生产工作，确保重点工程“零事故”</w:t>
      </w:r>
    </w:p>
    <w:p w14:paraId="7C0521B5">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5．加强工程建设监管，保证依法行政顺利开展</w:t>
      </w:r>
    </w:p>
    <w:p w14:paraId="085C6AFA">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6．强化社会管理综合治理，全面落实平安创建</w:t>
      </w:r>
    </w:p>
    <w:p w14:paraId="6AC3A07C">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7．及时调处矛盾纠纷，扎实完成信访工作</w:t>
      </w:r>
    </w:p>
    <w:p w14:paraId="62384A6E">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8．提升效能建设水平，促进重点工程建设工作</w:t>
      </w:r>
    </w:p>
    <w:p w14:paraId="5393BB36">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9．以实现年度目标任务为抓手，全面推进社会管理工作</w:t>
      </w:r>
    </w:p>
    <w:p w14:paraId="09B33ED4">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r>
        <w:rPr>
          <w:rFonts w:hint="eastAsia" w:ascii="Times New Roman" w:hAnsi="Times New Roman" w:eastAsia="仿宋_GB2312" w:cs="Times New Roman"/>
          <w:bCs/>
          <w:color w:val="000000" w:themeColor="text1"/>
          <w:sz w:val="32"/>
          <w:szCs w:val="32"/>
          <w:u w:val="none"/>
          <w14:textFill>
            <w14:solidFill>
              <w14:schemeClr w14:val="tx1"/>
            </w14:solidFill>
          </w14:textFill>
        </w:rPr>
        <w:t>10．以规范重点工程建设为契机，切实抓好档案管理</w:t>
      </w:r>
    </w:p>
    <w:p w14:paraId="6C3AB5B0">
      <w:pPr>
        <w:pStyle w:val="5"/>
        <w:widowControl w:val="0"/>
        <w:adjustRightInd w:val="0"/>
        <w:snapToGrid w:val="0"/>
        <w:spacing w:before="0" w:beforeAutospacing="0" w:after="0" w:afterAutospacing="0" w:line="560" w:lineRule="exact"/>
        <w:ind w:firstLine="784" w:firstLineChars="245"/>
        <w:jc w:val="both"/>
        <w:rPr>
          <w:rFonts w:hint="eastAsia" w:ascii="Times New Roman" w:hAnsi="Times New Roman" w:eastAsia="仿宋_GB2312" w:cs="Times New Roman"/>
          <w:bCs/>
          <w:color w:val="000000" w:themeColor="text1"/>
          <w:sz w:val="32"/>
          <w:szCs w:val="32"/>
          <w:u w:val="none"/>
          <w14:textFill>
            <w14:solidFill>
              <w14:schemeClr w14:val="tx1"/>
            </w14:solidFill>
          </w14:textFill>
        </w:rPr>
      </w:pPr>
    </w:p>
    <w:p w14:paraId="47C2B374">
      <w:pPr>
        <w:numPr>
          <w:ilvl w:val="0"/>
          <w:numId w:val="2"/>
        </w:numPr>
        <w:spacing w:line="560" w:lineRule="exact"/>
        <w:ind w:left="0" w:leftChars="0" w:firstLine="0" w:firstLineChars="0"/>
        <w:jc w:val="center"/>
        <w:rPr>
          <w:rFonts w:ascii="Times New Roman" w:hAnsi="Times New Roman" w:eastAsia="黑体"/>
          <w:color w:val="000000" w:themeColor="text1"/>
          <w:sz w:val="36"/>
          <w:szCs w:val="36"/>
          <w:highlight w:val="none"/>
          <w14:textFill>
            <w14:solidFill>
              <w14:schemeClr w14:val="tx1"/>
            </w14:solidFill>
          </w14:textFill>
        </w:rPr>
      </w:pPr>
      <w:r>
        <w:rPr>
          <w:rFonts w:ascii="Times New Roman" w:hAnsi="Times New Roman" w:eastAsia="黑体"/>
          <w:color w:val="000000" w:themeColor="text1"/>
          <w:sz w:val="36"/>
          <w:szCs w:val="36"/>
          <w:highlight w:val="none"/>
          <w14:textFill>
            <w14:solidFill>
              <w14:schemeClr w14:val="tx1"/>
            </w14:solidFill>
          </w14:textFill>
        </w:rPr>
        <w:t xml:space="preserve"> </w:t>
      </w:r>
      <w:r>
        <w:rPr>
          <w:rFonts w:hint="eastAsia" w:ascii="Times New Roman" w:hAnsi="Times New Roman" w:eastAsia="黑体"/>
          <w:color w:val="000000" w:themeColor="text1"/>
          <w:sz w:val="36"/>
          <w:szCs w:val="36"/>
          <w:highlight w:val="none"/>
          <w:lang w:eastAsia="zh-CN"/>
          <w14:textFill>
            <w14:solidFill>
              <w14:schemeClr w14:val="tx1"/>
            </w14:solidFill>
          </w14:textFill>
        </w:rPr>
        <w:t>2023年</w:t>
      </w:r>
      <w:r>
        <w:rPr>
          <w:rFonts w:hint="eastAsia" w:ascii="Times New Roman" w:hAnsi="Times New Roman" w:eastAsia="黑体"/>
          <w:color w:val="000000" w:themeColor="text1"/>
          <w:sz w:val="36"/>
          <w:szCs w:val="36"/>
          <w:highlight w:val="none"/>
          <w:u w:val="none"/>
          <w:lang w:eastAsia="zh-CN"/>
          <w14:textFill>
            <w14:solidFill>
              <w14:schemeClr w14:val="tx1"/>
            </w14:solidFill>
          </w14:textFill>
        </w:rPr>
        <w:t>部门</w:t>
      </w:r>
      <w:r>
        <w:rPr>
          <w:rFonts w:ascii="Times New Roman" w:hAnsi="Times New Roman" w:eastAsia="黑体"/>
          <w:color w:val="000000" w:themeColor="text1"/>
          <w:sz w:val="36"/>
          <w:szCs w:val="36"/>
          <w:highlight w:val="none"/>
          <w14:textFill>
            <w14:solidFill>
              <w14:schemeClr w14:val="tx1"/>
            </w14:solidFill>
          </w14:textFill>
        </w:rPr>
        <w:t>预算表</w:t>
      </w:r>
    </w:p>
    <w:p w14:paraId="6F32223D">
      <w:pPr>
        <w:numPr>
          <w:ilvl w:val="0"/>
          <w:numId w:val="0"/>
        </w:numPr>
        <w:spacing w:line="560" w:lineRule="exact"/>
        <w:ind w:leftChars="0"/>
        <w:jc w:val="both"/>
        <w:rPr>
          <w:rFonts w:ascii="Times New Roman" w:hAnsi="Times New Roman" w:eastAsia="黑体"/>
          <w:color w:val="000000" w:themeColor="text1"/>
          <w:sz w:val="36"/>
          <w:szCs w:val="36"/>
          <w:highlight w:val="none"/>
          <w14:textFill>
            <w14:solidFill>
              <w14:schemeClr w14:val="tx1"/>
            </w14:solidFill>
          </w14:textFill>
        </w:rPr>
      </w:pPr>
    </w:p>
    <w:p w14:paraId="3CCD290A">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预算表由以下1</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4</w:t>
      </w:r>
      <w:r>
        <w:rPr>
          <w:rFonts w:ascii="Times New Roman" w:hAnsi="Times New Roman" w:eastAsia="仿宋_GB2312"/>
          <w:color w:val="000000" w:themeColor="text1"/>
          <w:sz w:val="32"/>
          <w:szCs w:val="32"/>
          <w:highlight w:val="none"/>
          <w:u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w:t>
      </w:r>
      <w:r>
        <w:rPr>
          <w:rFonts w:ascii="Times New Roman" w:hAnsi="Times New Roman" w:eastAsia="仿宋_GB2312"/>
          <w:color w:val="000000" w:themeColor="text1"/>
          <w:sz w:val="32"/>
          <w:szCs w:val="32"/>
          <w:highlight w:val="none"/>
          <w:u w:val="none"/>
          <w14:textFill>
            <w14:solidFill>
              <w14:schemeClr w14:val="tx1"/>
            </w14:solidFill>
          </w14:textFill>
        </w:rPr>
        <w:t>。</w:t>
      </w:r>
    </w:p>
    <w:p w14:paraId="37443440">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收支总表（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1）</w:t>
      </w:r>
    </w:p>
    <w:p w14:paraId="73D5E73F">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2.</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收入总表（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2）</w:t>
      </w:r>
    </w:p>
    <w:p w14:paraId="2F941FB4">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3.</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支出总表（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3）</w:t>
      </w:r>
    </w:p>
    <w:p w14:paraId="200F7E02">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4.</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财政拨款收支总表（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4）</w:t>
      </w:r>
    </w:p>
    <w:p w14:paraId="093764F1">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5.</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5）</w:t>
      </w:r>
    </w:p>
    <w:p w14:paraId="0C7E2679">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6.</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6）</w:t>
      </w:r>
    </w:p>
    <w:p w14:paraId="7DE66272">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7.</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7）</w:t>
      </w:r>
    </w:p>
    <w:p w14:paraId="2E79E068">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8.</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8）</w:t>
      </w:r>
    </w:p>
    <w:p w14:paraId="0F27F88F">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9.</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基本支出总表（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9）</w:t>
      </w:r>
    </w:p>
    <w:p w14:paraId="3EF1A90C">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14:textFill>
            <w14:solidFill>
              <w14:schemeClr w14:val="tx1"/>
            </w14:solidFill>
          </w14:textFill>
        </w:rPr>
        <w:t>10.</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u w:val="none"/>
          <w14:textFill>
            <w14:solidFill>
              <w14:schemeClr w14:val="tx1"/>
            </w14:solidFill>
          </w14:textFill>
        </w:rPr>
        <w:t>项目</w:t>
      </w:r>
      <w:r>
        <w:rPr>
          <w:rFonts w:ascii="Times New Roman" w:hAnsi="Times New Roman" w:eastAsia="仿宋_GB2312"/>
          <w:color w:val="000000" w:themeColor="text1"/>
          <w:sz w:val="32"/>
          <w:szCs w:val="32"/>
          <w:highlight w:val="none"/>
          <w:u w:val="none"/>
          <w14:textFill>
            <w14:solidFill>
              <w14:schemeClr w14:val="tx1"/>
            </w14:solidFill>
          </w14:textFill>
        </w:rPr>
        <w:t>支出总表（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10）</w:t>
      </w:r>
    </w:p>
    <w:p w14:paraId="30AB5A0C">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11.</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政府采购支出表（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11）</w:t>
      </w:r>
    </w:p>
    <w:p w14:paraId="4C526796">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12.</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12）</w:t>
      </w:r>
    </w:p>
    <w:p w14:paraId="6BEE2D8E">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3</w:t>
      </w:r>
      <w:r>
        <w:rPr>
          <w:rFonts w:ascii="Times New Roman" w:hAnsi="Times New Roman"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“三公”经费支出预算表（</w:t>
      </w:r>
      <w:r>
        <w:rPr>
          <w:rFonts w:hint="eastAsia" w:ascii="Times New Roman" w:hAnsi="Times New Roman" w:eastAsia="仿宋_GB2312"/>
          <w:color w:val="000000" w:themeColor="text1"/>
          <w:sz w:val="32"/>
          <w:szCs w:val="32"/>
          <w:highlight w:val="none"/>
          <w:u w:val="none"/>
          <w14:textFill>
            <w14:solidFill>
              <w14:schemeClr w14:val="tx1"/>
            </w14:solidFill>
          </w14:textFill>
        </w:rPr>
        <w:t>附件表</w:t>
      </w: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3</w:t>
      </w:r>
      <w:r>
        <w:rPr>
          <w:rFonts w:ascii="Times New Roman" w:hAnsi="Times New Roman" w:eastAsia="仿宋_GB2312"/>
          <w:color w:val="000000" w:themeColor="text1"/>
          <w:sz w:val="32"/>
          <w:szCs w:val="32"/>
          <w:highlight w:val="none"/>
          <w:u w:val="none"/>
          <w14:textFill>
            <w14:solidFill>
              <w14:schemeClr w14:val="tx1"/>
            </w14:solidFill>
          </w14:textFill>
        </w:rPr>
        <w:t>）</w:t>
      </w:r>
    </w:p>
    <w:p w14:paraId="045DA753">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u w:val="none"/>
          <w14:textFill>
            <w14:solidFill>
              <w14:schemeClr w14:val="tx1"/>
            </w14:solidFill>
          </w14:textFill>
        </w:rPr>
        <w:t>1</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4</w:t>
      </w:r>
      <w:r>
        <w:rPr>
          <w:rFonts w:ascii="Times New Roman" w:hAnsi="Times New Roman" w:eastAsia="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3年</w:t>
      </w:r>
      <w:r>
        <w:rPr>
          <w:rFonts w:ascii="Times New Roman" w:hAnsi="Times New Roman" w:eastAsia="仿宋_GB2312"/>
          <w:color w:val="000000" w:themeColor="text1"/>
          <w:sz w:val="32"/>
          <w:szCs w:val="32"/>
          <w:highlight w:val="none"/>
          <w14:textFill>
            <w14:solidFill>
              <w14:schemeClr w14:val="tx1"/>
            </w14:solidFill>
          </w14:textFill>
        </w:rPr>
        <w:t>项目支出绩效目标表（</w:t>
      </w:r>
      <w:r>
        <w:rPr>
          <w:rFonts w:hint="eastAsia" w:ascii="Times New Roman" w:hAnsi="Times New Roman" w:eastAsia="仿宋_GB2312"/>
          <w:color w:val="000000" w:themeColor="text1"/>
          <w:sz w:val="32"/>
          <w:szCs w:val="32"/>
          <w:highlight w:val="none"/>
          <w14:textFill>
            <w14:solidFill>
              <w14:schemeClr w14:val="tx1"/>
            </w14:solidFill>
          </w14:textFill>
        </w:rPr>
        <w:t>附件表</w:t>
      </w: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olor w:val="000000" w:themeColor="text1"/>
          <w:sz w:val="32"/>
          <w:szCs w:val="32"/>
          <w:highlight w:val="none"/>
          <w14:textFill>
            <w14:solidFill>
              <w14:schemeClr w14:val="tx1"/>
            </w14:solidFill>
          </w14:textFill>
        </w:rPr>
        <w:t>）</w:t>
      </w:r>
    </w:p>
    <w:p w14:paraId="35D02840">
      <w:pPr>
        <w:spacing w:line="560" w:lineRule="exact"/>
        <w:jc w:val="center"/>
        <w:rPr>
          <w:rFonts w:ascii="Times New Roman" w:hAnsi="Times New Roman" w:eastAsia="黑体"/>
          <w:color w:val="000000" w:themeColor="text1"/>
          <w:sz w:val="36"/>
          <w:szCs w:val="36"/>
          <w:highlight w:val="none"/>
          <w14:textFill>
            <w14:solidFill>
              <w14:schemeClr w14:val="tx1"/>
            </w14:solidFill>
          </w14:textFill>
        </w:rPr>
      </w:pPr>
    </w:p>
    <w:p w14:paraId="045838D0">
      <w:pPr>
        <w:numPr>
          <w:ilvl w:val="0"/>
          <w:numId w:val="3"/>
        </w:numPr>
        <w:spacing w:line="560" w:lineRule="exact"/>
        <w:jc w:val="center"/>
        <w:rPr>
          <w:rFonts w:ascii="Times New Roman" w:hAnsi="Times New Roman" w:eastAsia="黑体"/>
          <w:color w:val="000000" w:themeColor="text1"/>
          <w:sz w:val="36"/>
          <w:szCs w:val="36"/>
          <w:highlight w:val="none"/>
          <w14:textFill>
            <w14:solidFill>
              <w14:schemeClr w14:val="tx1"/>
            </w14:solidFill>
          </w14:textFill>
        </w:rPr>
      </w:pPr>
      <w:r>
        <w:rPr>
          <w:rFonts w:ascii="Times New Roman" w:hAnsi="Times New Roman" w:eastAsia="黑体"/>
          <w:color w:val="000000" w:themeColor="text1"/>
          <w:sz w:val="36"/>
          <w:szCs w:val="36"/>
          <w:highlight w:val="none"/>
          <w14:textFill>
            <w14:solidFill>
              <w14:schemeClr w14:val="tx1"/>
            </w14:solidFill>
          </w14:textFill>
        </w:rPr>
        <w:t xml:space="preserve"> </w:t>
      </w:r>
      <w:r>
        <w:rPr>
          <w:rFonts w:hint="eastAsia" w:ascii="Times New Roman" w:hAnsi="Times New Roman" w:eastAsia="黑体"/>
          <w:color w:val="000000" w:themeColor="text1"/>
          <w:sz w:val="36"/>
          <w:szCs w:val="36"/>
          <w:highlight w:val="none"/>
          <w:lang w:eastAsia="zh-CN"/>
          <w14:textFill>
            <w14:solidFill>
              <w14:schemeClr w14:val="tx1"/>
            </w14:solidFill>
          </w14:textFill>
        </w:rPr>
        <w:t>2023年</w:t>
      </w:r>
      <w:r>
        <w:rPr>
          <w:rFonts w:hint="eastAsia" w:ascii="Times New Roman" w:hAnsi="Times New Roman" w:eastAsia="黑体"/>
          <w:color w:val="000000" w:themeColor="text1"/>
          <w:sz w:val="36"/>
          <w:szCs w:val="36"/>
          <w:highlight w:val="none"/>
          <w:u w:val="none"/>
          <w:lang w:eastAsia="zh-CN"/>
          <w14:textFill>
            <w14:solidFill>
              <w14:schemeClr w14:val="tx1"/>
            </w14:solidFill>
          </w14:textFill>
        </w:rPr>
        <w:t>部门</w:t>
      </w:r>
      <w:r>
        <w:rPr>
          <w:rFonts w:ascii="Times New Roman" w:hAnsi="Times New Roman" w:eastAsia="黑体"/>
          <w:color w:val="000000" w:themeColor="text1"/>
          <w:sz w:val="36"/>
          <w:szCs w:val="36"/>
          <w:highlight w:val="none"/>
          <w14:textFill>
            <w14:solidFill>
              <w14:schemeClr w14:val="tx1"/>
            </w14:solidFill>
          </w14:textFill>
        </w:rPr>
        <w:t>预算情况说明</w:t>
      </w:r>
    </w:p>
    <w:p w14:paraId="22877C6C">
      <w:pPr>
        <w:widowControl w:val="0"/>
        <w:numPr>
          <w:ilvl w:val="0"/>
          <w:numId w:val="0"/>
        </w:numPr>
        <w:spacing w:line="560" w:lineRule="exact"/>
        <w:jc w:val="both"/>
        <w:rPr>
          <w:rFonts w:ascii="Times New Roman" w:hAnsi="Times New Roman" w:eastAsia="黑体"/>
          <w:color w:val="000000" w:themeColor="text1"/>
          <w:sz w:val="36"/>
          <w:szCs w:val="36"/>
          <w:highlight w:val="none"/>
          <w14:textFill>
            <w14:solidFill>
              <w14:schemeClr w14:val="tx1"/>
            </w14:solidFill>
          </w14:textFill>
        </w:rPr>
      </w:pPr>
    </w:p>
    <w:p w14:paraId="183703D6">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一</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收支</w:t>
      </w:r>
      <w:r>
        <w:rPr>
          <w:rFonts w:hint="eastAsia" w:ascii="Times New Roman" w:hAnsi="Times New Roman" w:eastAsia="黑体"/>
          <w:color w:val="000000" w:themeColor="text1"/>
          <w:sz w:val="32"/>
          <w:szCs w:val="32"/>
          <w:highlight w:val="none"/>
          <w:lang w:eastAsia="zh-CN"/>
          <w14:textFill>
            <w14:solidFill>
              <w14:schemeClr w14:val="tx1"/>
            </w14:solidFill>
          </w14:textFill>
        </w:rPr>
        <w:t>总表的</w:t>
      </w:r>
      <w:r>
        <w:rPr>
          <w:rFonts w:ascii="Times New Roman" w:hAnsi="Times New Roman" w:eastAsia="黑体"/>
          <w:color w:val="000000" w:themeColor="text1"/>
          <w:sz w:val="32"/>
          <w:szCs w:val="32"/>
          <w:highlight w:val="none"/>
          <w14:textFill>
            <w14:solidFill>
              <w14:schemeClr w14:val="tx1"/>
            </w14:solidFill>
          </w14:textFill>
        </w:rPr>
        <w:t>说明</w:t>
      </w:r>
    </w:p>
    <w:p w14:paraId="1AC7D01A">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按照综合预算</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的</w:t>
      </w:r>
      <w:r>
        <w:rPr>
          <w:rFonts w:ascii="Times New Roman" w:hAnsi="Times New Roman" w:eastAsia="仿宋_GB2312"/>
          <w:color w:val="000000" w:themeColor="text1"/>
          <w:sz w:val="32"/>
          <w:szCs w:val="32"/>
          <w:highlight w:val="none"/>
          <w14:textFill>
            <w14:solidFill>
              <w14:schemeClr w14:val="tx1"/>
            </w14:solidFill>
          </w14:textFill>
        </w:rPr>
        <w:t>原则，</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ascii="Times New Roman" w:hAnsi="Times New Roman" w:eastAsia="仿宋_GB2312"/>
          <w:color w:val="000000" w:themeColor="text1"/>
          <w:sz w:val="32"/>
          <w:szCs w:val="32"/>
          <w:highlight w:val="none"/>
          <w:u w:val="none"/>
          <w14:textFill>
            <w14:solidFill>
              <w14:schemeClr w14:val="tx1"/>
            </w14:solidFill>
          </w14:textFill>
        </w:rPr>
        <w:t>所有收入和支出均纳入</w:t>
      </w:r>
      <w:r>
        <w:rPr>
          <w:rFonts w:hint="eastAsia" w:ascii="Times New Roman" w:hAnsi="Times New Roman" w:eastAsia="仿宋_GB2312"/>
          <w:i w:val="0"/>
          <w:iCs w:val="0"/>
          <w:color w:val="000000" w:themeColor="text1"/>
          <w:sz w:val="32"/>
          <w:szCs w:val="32"/>
          <w:highlight w:val="none"/>
          <w:u w:val="none"/>
          <w:lang w:eastAsia="zh-CN"/>
          <w14:textFill>
            <w14:solidFill>
              <w14:schemeClr w14:val="tx1"/>
            </w14:solidFill>
          </w14:textFill>
        </w:rPr>
        <w:t>部门</w:t>
      </w:r>
      <w:r>
        <w:rPr>
          <w:rFonts w:ascii="Times New Roman" w:hAnsi="Times New Roman" w:eastAsia="仿宋_GB2312"/>
          <w:color w:val="000000" w:themeColor="text1"/>
          <w:sz w:val="32"/>
          <w:szCs w:val="32"/>
          <w:highlight w:val="none"/>
          <w:u w:val="none"/>
          <w14:textFill>
            <w14:solidFill>
              <w14:schemeClr w14:val="tx1"/>
            </w14:solidFill>
          </w14:textFill>
        </w:rPr>
        <w:t>预算管理。</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收支总预算</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u w:val="none"/>
          <w14:textFill>
            <w14:solidFill>
              <w14:schemeClr w14:val="tx1"/>
            </w14:solidFill>
          </w14:textFill>
        </w:rPr>
        <w:t>万元，收入</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全部为</w:t>
      </w:r>
      <w:r>
        <w:rPr>
          <w:rFonts w:ascii="Times New Roman" w:hAnsi="Times New Roman" w:eastAsia="仿宋_GB2312"/>
          <w:color w:val="000000" w:themeColor="text1"/>
          <w:sz w:val="32"/>
          <w:szCs w:val="32"/>
          <w:highlight w:val="none"/>
          <w:u w:val="none"/>
          <w14:textFill>
            <w14:solidFill>
              <w14:schemeClr w14:val="tx1"/>
            </w14:solidFill>
          </w14:textFill>
        </w:rPr>
        <w:t>一般公共预算拨款收入，支出包括</w:t>
      </w:r>
      <w:r>
        <w:rPr>
          <w:rFonts w:ascii="Times New Roman" w:hAnsi="Times New Roman" w:eastAsia="仿宋_GB2312"/>
          <w:color w:val="000000" w:themeColor="text1"/>
          <w:sz w:val="32"/>
          <w:szCs w:val="32"/>
          <w:highlight w:val="none"/>
          <w14:textFill>
            <w14:solidFill>
              <w14:schemeClr w14:val="tx1"/>
            </w14:solidFill>
          </w14:textFill>
        </w:rPr>
        <w:t>社会保障和就业支出、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城乡社区支出</w:t>
      </w:r>
      <w:r>
        <w:rPr>
          <w:rFonts w:ascii="Times New Roman" w:hAnsi="Times New Roman" w:eastAsia="仿宋_GB2312"/>
          <w:color w:val="000000" w:themeColor="text1"/>
          <w:sz w:val="32"/>
          <w:szCs w:val="32"/>
          <w:highlight w:val="none"/>
          <w14:textFill>
            <w14:solidFill>
              <w14:schemeClr w14:val="tx1"/>
            </w14:solidFill>
          </w14:textFill>
        </w:rPr>
        <w:t>、住房保障支出。</w:t>
      </w:r>
    </w:p>
    <w:p w14:paraId="4AFC3F12">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二</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收入</w:t>
      </w:r>
      <w:r>
        <w:rPr>
          <w:rFonts w:hint="eastAsia" w:ascii="Times New Roman" w:hAnsi="Times New Roman" w:eastAsia="黑体"/>
          <w:color w:val="000000" w:themeColor="text1"/>
          <w:sz w:val="32"/>
          <w:szCs w:val="32"/>
          <w:highlight w:val="none"/>
          <w:lang w:eastAsia="zh-CN"/>
          <w14:textFill>
            <w14:solidFill>
              <w14:schemeClr w14:val="tx1"/>
            </w14:solidFill>
          </w14:textFill>
        </w:rPr>
        <w:t>总表的</w:t>
      </w:r>
      <w:r>
        <w:rPr>
          <w:rFonts w:ascii="Times New Roman" w:hAnsi="Times New Roman" w:eastAsia="黑体"/>
          <w:color w:val="000000" w:themeColor="text1"/>
          <w:sz w:val="32"/>
          <w:szCs w:val="32"/>
          <w:highlight w:val="none"/>
          <w14:textFill>
            <w14:solidFill>
              <w14:schemeClr w14:val="tx1"/>
            </w14:solidFill>
          </w14:textFill>
        </w:rPr>
        <w:t>说明</w:t>
      </w:r>
    </w:p>
    <w:p w14:paraId="1034CD52">
      <w:pPr>
        <w:adjustRightInd w:val="0"/>
        <w:snapToGrid w:val="0"/>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14:textFill>
            <w14:solidFill>
              <w14:schemeClr w14:val="tx1"/>
            </w14:solidFill>
          </w14:textFill>
        </w:rPr>
        <w:t>收入预算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收入全部是</w:t>
      </w:r>
      <w:r>
        <w:rPr>
          <w:rFonts w:ascii="Times New Roman" w:hAnsi="Times New Roman" w:eastAsia="仿宋_GB2312"/>
          <w:color w:val="000000" w:themeColor="text1"/>
          <w:sz w:val="32"/>
          <w:szCs w:val="32"/>
          <w:highlight w:val="none"/>
          <w14:textFill>
            <w14:solidFill>
              <w14:schemeClr w14:val="tx1"/>
            </w14:solidFill>
          </w14:textFill>
        </w:rPr>
        <w:t>一般公共预算拨款收入</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14:textFill>
            <w14:solidFill>
              <w14:schemeClr w14:val="tx1"/>
            </w14:solidFill>
          </w14:textFill>
        </w:rPr>
        <w:t>万元，占</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100</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较2022年</w:t>
      </w:r>
      <w:r>
        <w:rPr>
          <w:rFonts w:ascii="Times New Roman" w:hAnsi="Times New Roman" w:eastAsia="仿宋_GB2312"/>
          <w:color w:val="000000" w:themeColor="text1"/>
          <w:sz w:val="32"/>
          <w:szCs w:val="32"/>
          <w:highlight w:val="none"/>
          <w14:textFill>
            <w14:solidFill>
              <w14:schemeClr w14:val="tx1"/>
            </w14:solidFill>
          </w14:textFill>
        </w:rPr>
        <w:t>预算增加</w:t>
      </w:r>
      <w:r>
        <w:rPr>
          <w:rFonts w:hint="default" w:ascii="Times New Roman" w:hAnsi="Times New Roman" w:eastAsia="仿宋_GB2312"/>
          <w:color w:val="000000" w:themeColor="text1"/>
          <w:sz w:val="32"/>
          <w:szCs w:val="32"/>
          <w:highlight w:val="none"/>
          <w:lang w:val="en"/>
          <w14:textFill>
            <w14:solidFill>
              <w14:schemeClr w14:val="tx1"/>
            </w14:solidFill>
          </w14:textFill>
        </w:rPr>
        <w:t>204.53</w:t>
      </w:r>
      <w:r>
        <w:rPr>
          <w:rFonts w:ascii="Times New Roman" w:hAnsi="Times New Roman" w:eastAsia="仿宋_GB2312"/>
          <w:color w:val="000000" w:themeColor="text1"/>
          <w:sz w:val="32"/>
          <w:szCs w:val="32"/>
          <w:highlight w:val="none"/>
          <w14:textFill>
            <w14:solidFill>
              <w14:schemeClr w14:val="tx1"/>
            </w14:solidFill>
          </w14:textFill>
        </w:rPr>
        <w:t>万元，增长</w:t>
      </w:r>
      <w:r>
        <w:rPr>
          <w:rFonts w:hint="default" w:ascii="Times New Roman" w:hAnsi="Times New Roman" w:eastAsia="仿宋_GB2312"/>
          <w:color w:val="000000" w:themeColor="text1"/>
          <w:sz w:val="32"/>
          <w:szCs w:val="32"/>
          <w:highlight w:val="none"/>
          <w:lang w:val="en"/>
          <w14:textFill>
            <w14:solidFill>
              <w14:schemeClr w14:val="tx1"/>
            </w14:solidFill>
          </w14:textFill>
        </w:rPr>
        <w:t>42.72</w:t>
      </w:r>
      <w:r>
        <w:rPr>
          <w:rFonts w:ascii="Times New Roman" w:hAnsi="Times New Roman" w:eastAsia="仿宋_GB2312"/>
          <w:color w:val="000000" w:themeColor="text1"/>
          <w:sz w:val="32"/>
          <w:szCs w:val="32"/>
          <w:highlight w:val="none"/>
          <w14:textFill>
            <w14:solidFill>
              <w14:schemeClr w14:val="tx1"/>
            </w14:solidFill>
          </w14:textFill>
        </w:rPr>
        <w:t>%，增长原因主要是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基础绩效奖列入年度预算</w:t>
      </w:r>
      <w:r>
        <w:rPr>
          <w:rFonts w:ascii="Times New Roman" w:hAnsi="Times New Roman" w:eastAsia="仿宋_GB2312"/>
          <w:color w:val="000000" w:themeColor="text1"/>
          <w:sz w:val="32"/>
          <w:szCs w:val="32"/>
          <w:highlight w:val="none"/>
          <w14:textFill>
            <w14:solidFill>
              <w14:schemeClr w14:val="tx1"/>
            </w14:solidFill>
          </w14:textFill>
        </w:rPr>
        <w:t>。</w:t>
      </w:r>
    </w:p>
    <w:p w14:paraId="128C1F50">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三</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支出</w:t>
      </w:r>
      <w:r>
        <w:rPr>
          <w:rFonts w:hint="eastAsia" w:ascii="Times New Roman" w:hAnsi="Times New Roman" w:eastAsia="黑体"/>
          <w:color w:val="000000" w:themeColor="text1"/>
          <w:sz w:val="32"/>
          <w:szCs w:val="32"/>
          <w:highlight w:val="none"/>
          <w:lang w:eastAsia="zh-CN"/>
          <w14:textFill>
            <w14:solidFill>
              <w14:schemeClr w14:val="tx1"/>
            </w14:solidFill>
          </w14:textFill>
        </w:rPr>
        <w:t>总表的</w:t>
      </w:r>
      <w:r>
        <w:rPr>
          <w:rFonts w:ascii="Times New Roman" w:hAnsi="Times New Roman" w:eastAsia="黑体"/>
          <w:color w:val="000000" w:themeColor="text1"/>
          <w:sz w:val="32"/>
          <w:szCs w:val="32"/>
          <w:highlight w:val="none"/>
          <w14:textFill>
            <w14:solidFill>
              <w14:schemeClr w14:val="tx1"/>
            </w14:solidFill>
          </w14:textFill>
        </w:rPr>
        <w:t>说明</w:t>
      </w:r>
    </w:p>
    <w:p w14:paraId="38B4F26E">
      <w:pPr>
        <w:adjustRightInd w:val="0"/>
        <w:snapToGrid w:val="0"/>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u w:val="none"/>
          <w14:textFill>
            <w14:solidFill>
              <w14:schemeClr w14:val="tx1"/>
            </w14:solidFill>
          </w14:textFill>
        </w:rPr>
        <w:t>支出预算</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较2022年</w:t>
      </w:r>
      <w:r>
        <w:rPr>
          <w:rFonts w:ascii="Times New Roman" w:hAnsi="Times New Roman" w:eastAsia="仿宋_GB2312"/>
          <w:color w:val="000000" w:themeColor="text1"/>
          <w:sz w:val="32"/>
          <w:szCs w:val="32"/>
          <w:highlight w:val="none"/>
          <w:u w:val="none"/>
          <w14:textFill>
            <w14:solidFill>
              <w14:schemeClr w14:val="tx1"/>
            </w14:solidFill>
          </w14:textFill>
        </w:rPr>
        <w:t>预算增加</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204.53</w:t>
      </w:r>
      <w:r>
        <w:rPr>
          <w:rFonts w:ascii="Times New Roman" w:hAnsi="Times New Roman" w:eastAsia="仿宋_GB2312"/>
          <w:color w:val="000000" w:themeColor="text1"/>
          <w:sz w:val="32"/>
          <w:szCs w:val="32"/>
          <w:highlight w:val="none"/>
          <w:u w:val="none"/>
          <w14:textFill>
            <w14:solidFill>
              <w14:schemeClr w14:val="tx1"/>
            </w14:solidFill>
          </w14:textFill>
        </w:rPr>
        <w:t>万元，增长</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42.72</w:t>
      </w:r>
      <w:r>
        <w:rPr>
          <w:rFonts w:ascii="Times New Roman" w:hAnsi="Times New Roman" w:eastAsia="仿宋_GB2312"/>
          <w:color w:val="000000" w:themeColor="text1"/>
          <w:sz w:val="32"/>
          <w:szCs w:val="32"/>
          <w:highlight w:val="none"/>
          <w:u w:val="none"/>
          <w14:textFill>
            <w14:solidFill>
              <w14:schemeClr w14:val="tx1"/>
            </w14:solidFill>
          </w14:textFill>
        </w:rPr>
        <w:t>%，增长原因主要是</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基础绩效奖列入年度预算</w:t>
      </w:r>
      <w:r>
        <w:rPr>
          <w:rFonts w:ascii="Times New Roman" w:hAnsi="Times New Roman" w:eastAsia="仿宋_GB2312"/>
          <w:color w:val="000000" w:themeColor="text1"/>
          <w:sz w:val="32"/>
          <w:szCs w:val="32"/>
          <w:highlight w:val="none"/>
          <w:u w:val="none"/>
          <w14:textFill>
            <w14:solidFill>
              <w14:schemeClr w14:val="tx1"/>
            </w14:solidFill>
          </w14:textFill>
        </w:rPr>
        <w:t>。其中，基本支出</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u w:val="none"/>
          <w14:textFill>
            <w14:solidFill>
              <w14:schemeClr w14:val="tx1"/>
            </w14:solidFill>
          </w14:textFill>
        </w:rPr>
        <w:t>万元，占</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100</w:t>
      </w:r>
      <w:r>
        <w:rPr>
          <w:rFonts w:ascii="Times New Roman" w:hAnsi="Times New Roman" w:eastAsia="仿宋_GB2312"/>
          <w:color w:val="000000" w:themeColor="text1"/>
          <w:sz w:val="32"/>
          <w:szCs w:val="32"/>
          <w:highlight w:val="none"/>
          <w:u w:val="none"/>
          <w14:textFill>
            <w14:solidFill>
              <w14:schemeClr w14:val="tx1"/>
            </w14:solidFill>
          </w14:textFill>
        </w:rPr>
        <w:t>%，主要用于保障机构日常运转、完成日常工作任务等；项目支出</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未安排项目支出</w:t>
      </w:r>
      <w:r>
        <w:rPr>
          <w:rFonts w:ascii="Times New Roman" w:hAnsi="Times New Roman" w:eastAsia="仿宋_GB2312"/>
          <w:color w:val="000000" w:themeColor="text1"/>
          <w:sz w:val="32"/>
          <w:szCs w:val="32"/>
          <w:highlight w:val="none"/>
          <w:u w:val="none"/>
          <w14:textFill>
            <w14:solidFill>
              <w14:schemeClr w14:val="tx1"/>
            </w14:solidFill>
          </w14:textFill>
        </w:rPr>
        <w:t>。</w:t>
      </w:r>
    </w:p>
    <w:p w14:paraId="0D248141">
      <w:pPr>
        <w:spacing w:line="560" w:lineRule="exact"/>
        <w:jc w:val="left"/>
        <w:rPr>
          <w:rFonts w:ascii="Times New Roman" w:hAnsi="Times New Roman" w:eastAsia="黑体"/>
          <w:color w:val="000000" w:themeColor="text1"/>
          <w:sz w:val="32"/>
          <w:szCs w:val="32"/>
          <w:highlight w:val="none"/>
          <w:u w:val="none"/>
          <w14:textFill>
            <w14:solidFill>
              <w14:schemeClr w14:val="tx1"/>
            </w14:solidFill>
          </w14:textFill>
        </w:rPr>
      </w:pPr>
      <w:r>
        <w:rPr>
          <w:rFonts w:ascii="Times New Roman" w:hAnsi="Times New Roman" w:eastAsia="黑体"/>
          <w:color w:val="000000" w:themeColor="text1"/>
          <w:sz w:val="36"/>
          <w:szCs w:val="36"/>
          <w:highlight w:val="none"/>
          <w:u w:val="none"/>
          <w14:textFill>
            <w14:solidFill>
              <w14:schemeClr w14:val="tx1"/>
            </w14:solidFill>
          </w14:textFill>
        </w:rPr>
        <w:t xml:space="preserve">    </w:t>
      </w:r>
      <w:r>
        <w:rPr>
          <w:rFonts w:hint="eastAsia" w:ascii="Times New Roman" w:hAnsi="Times New Roman" w:eastAsia="黑体"/>
          <w:color w:val="000000" w:themeColor="text1"/>
          <w:sz w:val="32"/>
          <w:szCs w:val="32"/>
          <w:highlight w:val="none"/>
          <w:u w:val="none"/>
          <w:lang w:eastAsia="zh-CN"/>
          <w14:textFill>
            <w14:solidFill>
              <w14:schemeClr w14:val="tx1"/>
            </w14:solidFill>
          </w14:textFill>
        </w:rPr>
        <w:t>四</w:t>
      </w:r>
      <w:r>
        <w:rPr>
          <w:rFonts w:ascii="Times New Roman" w:hAnsi="Times New Roman" w:eastAsia="黑体"/>
          <w:color w:val="000000" w:themeColor="text1"/>
          <w:sz w:val="32"/>
          <w:szCs w:val="32"/>
          <w:highlight w:val="none"/>
          <w:u w:val="none"/>
          <w14:textFill>
            <w14:solidFill>
              <w14:schemeClr w14:val="tx1"/>
            </w14:solidFill>
          </w14:textFill>
        </w:rPr>
        <w:t>、关于</w:t>
      </w:r>
      <w:r>
        <w:rPr>
          <w:rFonts w:hint="eastAsia" w:ascii="Times New Roman" w:hAnsi="Times New Roman" w:eastAsia="黑体"/>
          <w:color w:val="000000" w:themeColor="text1"/>
          <w:sz w:val="32"/>
          <w:szCs w:val="32"/>
          <w:highlight w:val="none"/>
          <w:u w:val="none"/>
          <w:lang w:eastAsia="zh-CN"/>
          <w14:textFill>
            <w14:solidFill>
              <w14:schemeClr w14:val="tx1"/>
            </w14:solidFill>
          </w14:textFill>
        </w:rPr>
        <w:t>2023年</w:t>
      </w:r>
      <w:r>
        <w:rPr>
          <w:rFonts w:ascii="Times New Roman" w:hAnsi="Times New Roman" w:eastAsia="黑体"/>
          <w:color w:val="000000" w:themeColor="text1"/>
          <w:sz w:val="32"/>
          <w:szCs w:val="32"/>
          <w:highlight w:val="none"/>
          <w:u w:val="none"/>
          <w14:textFill>
            <w14:solidFill>
              <w14:schemeClr w14:val="tx1"/>
            </w14:solidFill>
          </w14:textFill>
        </w:rPr>
        <w:t>财政拨款收支</w:t>
      </w:r>
      <w:r>
        <w:rPr>
          <w:rFonts w:hint="eastAsia" w:ascii="Times New Roman" w:hAnsi="Times New Roman" w:eastAsia="黑体"/>
          <w:color w:val="000000" w:themeColor="text1"/>
          <w:sz w:val="32"/>
          <w:szCs w:val="32"/>
          <w:highlight w:val="none"/>
          <w:u w:val="none"/>
          <w:lang w:eastAsia="zh-CN"/>
          <w14:textFill>
            <w14:solidFill>
              <w14:schemeClr w14:val="tx1"/>
            </w14:solidFill>
          </w14:textFill>
        </w:rPr>
        <w:t>总表的</w:t>
      </w:r>
      <w:r>
        <w:rPr>
          <w:rFonts w:ascii="Times New Roman" w:hAnsi="Times New Roman" w:eastAsia="黑体"/>
          <w:color w:val="000000" w:themeColor="text1"/>
          <w:sz w:val="32"/>
          <w:szCs w:val="32"/>
          <w:highlight w:val="none"/>
          <w:u w:val="none"/>
          <w14:textFill>
            <w14:solidFill>
              <w14:schemeClr w14:val="tx1"/>
            </w14:solidFill>
          </w14:textFill>
        </w:rPr>
        <w:t>说明</w:t>
      </w:r>
    </w:p>
    <w:p w14:paraId="278C5E53">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202</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3年</w:t>
      </w:r>
      <w:r>
        <w:rPr>
          <w:rFonts w:ascii="Times New Roman" w:hAnsi="Times New Roman" w:eastAsia="仿宋_GB2312"/>
          <w:color w:val="000000" w:themeColor="text1"/>
          <w:sz w:val="32"/>
          <w:szCs w:val="32"/>
          <w:highlight w:val="none"/>
          <w14:textFill>
            <w14:solidFill>
              <w14:schemeClr w14:val="tx1"/>
            </w14:solidFill>
          </w14:textFill>
        </w:rPr>
        <w:t>财政拨款收支预算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14:textFill>
            <w14:solidFill>
              <w14:schemeClr w14:val="tx1"/>
            </w14:solidFill>
          </w14:textFill>
        </w:rPr>
        <w:t>万元。收入按资金来源分</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全部</w:t>
      </w:r>
      <w:r>
        <w:rPr>
          <w:rFonts w:ascii="Times New Roman" w:hAnsi="Times New Roman" w:eastAsia="仿宋_GB2312"/>
          <w:color w:val="000000" w:themeColor="text1"/>
          <w:sz w:val="32"/>
          <w:szCs w:val="32"/>
          <w:highlight w:val="none"/>
          <w14:textFill>
            <w14:solidFill>
              <w14:schemeClr w14:val="tx1"/>
            </w14:solidFill>
          </w14:textFill>
        </w:rPr>
        <w:t>为一般公共预算拨款；按资金年度分为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全部为</w:t>
      </w:r>
      <w:r>
        <w:rPr>
          <w:rFonts w:ascii="Times New Roman" w:hAnsi="Times New Roman" w:eastAsia="仿宋_GB2312"/>
          <w:color w:val="000000" w:themeColor="text1"/>
          <w:sz w:val="32"/>
          <w:szCs w:val="32"/>
          <w:highlight w:val="none"/>
          <w14:textFill>
            <w14:solidFill>
              <w14:schemeClr w14:val="tx1"/>
            </w14:solidFill>
          </w14:textFill>
        </w:rPr>
        <w:t>当年财政拨款收入。</w:t>
      </w:r>
    </w:p>
    <w:p w14:paraId="62262BE1">
      <w:pPr>
        <w:pStyle w:val="5"/>
        <w:widowControl w:val="0"/>
        <w:adjustRightInd w:val="0"/>
        <w:snapToGrid w:val="0"/>
        <w:spacing w:before="0" w:beforeAutospacing="0" w:after="0" w:afterAutospacing="0" w:line="560" w:lineRule="exact"/>
        <w:ind w:firstLine="640" w:firstLineChars="200"/>
        <w:rPr>
          <w:rFonts w:ascii="Times New Roman" w:hAnsi="Times New Roman" w:eastAsia="楷体" w:cs="Times New Roman"/>
          <w:color w:val="FF0000"/>
          <w:kern w:val="2"/>
          <w:sz w:val="32"/>
          <w:szCs w:val="32"/>
          <w:highlight w:val="none"/>
        </w:rPr>
      </w:pPr>
      <w:r>
        <w:rPr>
          <w:rFonts w:ascii="Times New Roman" w:hAnsi="Times New Roman" w:eastAsia="仿宋_GB2312" w:cs="Times New Roman"/>
          <w:color w:val="000000" w:themeColor="text1"/>
          <w:kern w:val="2"/>
          <w:sz w:val="32"/>
          <w:szCs w:val="32"/>
          <w:highlight w:val="none"/>
          <w14:textFill>
            <w14:solidFill>
              <w14:schemeClr w14:val="tx1"/>
            </w14:solidFill>
          </w14:textFill>
        </w:rPr>
        <w:t>支出按功能分类分为：社会保障和就业支出</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35.4</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5.18</w:t>
      </w:r>
      <w:r>
        <w:rPr>
          <w:rFonts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城乡社区支出</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621.31万元，占90.93%；</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住房保障支出</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26.55</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3.89</w:t>
      </w:r>
      <w:r>
        <w:rPr>
          <w:rFonts w:ascii="Times New Roman" w:hAnsi="Times New Roman" w:eastAsia="仿宋_GB2312" w:cs="Times New Roman"/>
          <w:color w:val="000000" w:themeColor="text1"/>
          <w:kern w:val="2"/>
          <w:sz w:val="32"/>
          <w:szCs w:val="32"/>
          <w:highlight w:val="none"/>
          <w14:textFill>
            <w14:solidFill>
              <w14:schemeClr w14:val="tx1"/>
            </w14:solidFill>
          </w14:textFill>
        </w:rPr>
        <w:t>%。</w:t>
      </w:r>
    </w:p>
    <w:p w14:paraId="5AF7EABC">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预算相比，收、支总计各增加</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204.53</w:t>
      </w:r>
      <w:r>
        <w:rPr>
          <w:rFonts w:ascii="Times New Roman" w:hAnsi="Times New Roman" w:eastAsia="仿宋_GB2312"/>
          <w:color w:val="000000" w:themeColor="text1"/>
          <w:sz w:val="32"/>
          <w:szCs w:val="32"/>
          <w:highlight w:val="none"/>
          <w14:textFill>
            <w14:solidFill>
              <w14:schemeClr w14:val="tx1"/>
            </w14:solidFill>
          </w14:textFill>
        </w:rPr>
        <w:t>万元，增长</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42.72</w:t>
      </w:r>
      <w:r>
        <w:rPr>
          <w:rFonts w:ascii="Times New Roman" w:hAnsi="Times New Roman" w:eastAsia="仿宋_GB2312"/>
          <w:color w:val="000000" w:themeColor="text1"/>
          <w:sz w:val="32"/>
          <w:szCs w:val="32"/>
          <w:highlight w:val="none"/>
          <w14:textFill>
            <w14:solidFill>
              <w14:schemeClr w14:val="tx1"/>
            </w14:solidFill>
          </w14:textFill>
        </w:rPr>
        <w:t xml:space="preserve"> %。主要原因：一是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基础绩效奖列入年度预算</w:t>
      </w:r>
      <w:r>
        <w:rPr>
          <w:rFonts w:ascii="Times New Roman" w:hAnsi="Times New Roman" w:eastAsia="仿宋_GB2312"/>
          <w:color w:val="000000" w:themeColor="text1"/>
          <w:sz w:val="32"/>
          <w:szCs w:val="32"/>
          <w:highlight w:val="none"/>
          <w14:textFill>
            <w14:solidFill>
              <w14:schemeClr w14:val="tx1"/>
            </w14:solidFill>
          </w14:textFill>
        </w:rPr>
        <w:t>；二是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人员及工资变动</w:t>
      </w:r>
      <w:r>
        <w:rPr>
          <w:rFonts w:ascii="Times New Roman" w:hAnsi="Times New Roman" w:eastAsia="仿宋_GB2312"/>
          <w:color w:val="000000" w:themeColor="text1"/>
          <w:sz w:val="32"/>
          <w:szCs w:val="32"/>
          <w:highlight w:val="none"/>
          <w14:textFill>
            <w14:solidFill>
              <w14:schemeClr w14:val="tx1"/>
            </w14:solidFill>
          </w14:textFill>
        </w:rPr>
        <w:t>。</w:t>
      </w:r>
    </w:p>
    <w:p w14:paraId="02B9372A">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五</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一般公共预算</w:t>
      </w:r>
      <w:r>
        <w:rPr>
          <w:rFonts w:hint="eastAsia" w:ascii="Times New Roman" w:hAnsi="Times New Roman" w:eastAsia="黑体"/>
          <w:color w:val="000000" w:themeColor="text1"/>
          <w:sz w:val="32"/>
          <w:szCs w:val="32"/>
          <w:highlight w:val="none"/>
          <w:lang w:eastAsia="zh-CN"/>
          <w14:textFill>
            <w14:solidFill>
              <w14:schemeClr w14:val="tx1"/>
            </w14:solidFill>
          </w14:textFill>
        </w:rPr>
        <w:t>支出表的</w:t>
      </w:r>
      <w:r>
        <w:rPr>
          <w:rFonts w:ascii="Times New Roman" w:hAnsi="Times New Roman" w:eastAsia="黑体"/>
          <w:color w:val="000000" w:themeColor="text1"/>
          <w:sz w:val="32"/>
          <w:szCs w:val="32"/>
          <w:highlight w:val="none"/>
          <w14:textFill>
            <w14:solidFill>
              <w14:schemeClr w14:val="tx1"/>
            </w14:solidFill>
          </w14:textFill>
        </w:rPr>
        <w:t>说明</w:t>
      </w:r>
    </w:p>
    <w:p w14:paraId="07027E35">
      <w:pPr>
        <w:spacing w:line="560" w:lineRule="exact"/>
        <w:ind w:firstLine="643" w:firstLineChars="200"/>
        <w:rPr>
          <w:rFonts w:ascii="Times New Roman" w:hAnsi="Times New Roman" w:eastAsia="楷体"/>
          <w:b/>
          <w:color w:val="000000" w:themeColor="text1"/>
          <w:sz w:val="32"/>
          <w:szCs w:val="32"/>
          <w:highlight w:val="none"/>
          <w14:textFill>
            <w14:solidFill>
              <w14:schemeClr w14:val="tx1"/>
            </w14:solidFill>
          </w14:textFill>
        </w:rPr>
      </w:pPr>
      <w:r>
        <w:rPr>
          <w:rFonts w:ascii="Times New Roman" w:hAnsi="Times New Roman" w:eastAsia="楷体"/>
          <w:b/>
          <w:color w:val="000000" w:themeColor="text1"/>
          <w:sz w:val="32"/>
          <w:szCs w:val="32"/>
          <w:highlight w:val="none"/>
          <w14:textFill>
            <w14:solidFill>
              <w14:schemeClr w14:val="tx1"/>
            </w14:solidFill>
          </w14:textFill>
        </w:rPr>
        <w:t>（一）一般公共预算拨款规模变化情况。</w:t>
      </w:r>
    </w:p>
    <w:p w14:paraId="1D06625E">
      <w:pPr>
        <w:pStyle w:val="5"/>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s="Times New Roman"/>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2023年</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一般公共预算拨款</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683.27</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较2022年</w:t>
      </w:r>
      <w:r>
        <w:rPr>
          <w:rFonts w:ascii="Times New Roman" w:hAnsi="Times New Roman" w:eastAsia="仿宋_GB2312" w:cs="Times New Roman"/>
          <w:color w:val="000000" w:themeColor="text1"/>
          <w:kern w:val="2"/>
          <w:sz w:val="32"/>
          <w:szCs w:val="32"/>
          <w:highlight w:val="none"/>
          <w14:textFill>
            <w14:solidFill>
              <w14:schemeClr w14:val="tx1"/>
            </w14:solidFill>
          </w14:textFill>
        </w:rPr>
        <w:t>预算拨款增加</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204.53</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万元，增长</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42.72</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%，主要原因：</w:t>
      </w:r>
      <w:r>
        <w:rPr>
          <w:rFonts w:ascii="Times New Roman" w:hAnsi="Times New Roman" w:eastAsia="仿宋_GB2312"/>
          <w:color w:val="000000" w:themeColor="text1"/>
          <w:sz w:val="32"/>
          <w:szCs w:val="32"/>
          <w:highlight w:val="none"/>
          <w14:textFill>
            <w14:solidFill>
              <w14:schemeClr w14:val="tx1"/>
            </w14:solidFill>
          </w14:textFill>
        </w:rPr>
        <w:t>一是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基础绩效奖列入年度预算</w:t>
      </w:r>
      <w:r>
        <w:rPr>
          <w:rFonts w:ascii="Times New Roman" w:hAnsi="Times New Roman" w:eastAsia="仿宋_GB2312"/>
          <w:color w:val="000000" w:themeColor="text1"/>
          <w:sz w:val="32"/>
          <w:szCs w:val="32"/>
          <w:highlight w:val="none"/>
          <w14:textFill>
            <w14:solidFill>
              <w14:schemeClr w14:val="tx1"/>
            </w14:solidFill>
          </w14:textFill>
        </w:rPr>
        <w:t>；二是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人员及工资变动</w:t>
      </w:r>
      <w:r>
        <w:rPr>
          <w:rFonts w:ascii="Times New Roman" w:hAnsi="Times New Roman" w:eastAsia="仿宋_GB2312"/>
          <w:color w:val="000000" w:themeColor="text1"/>
          <w:sz w:val="32"/>
          <w:szCs w:val="32"/>
          <w:highlight w:val="none"/>
          <w14:textFill>
            <w14:solidFill>
              <w14:schemeClr w14:val="tx1"/>
            </w14:solidFill>
          </w14:textFill>
        </w:rPr>
        <w:t>。</w:t>
      </w:r>
    </w:p>
    <w:p w14:paraId="267AFA5C">
      <w:pPr>
        <w:spacing w:line="560" w:lineRule="exact"/>
        <w:ind w:firstLine="643" w:firstLineChars="200"/>
        <w:rPr>
          <w:rFonts w:ascii="Times New Roman" w:hAnsi="Times New Roman" w:eastAsia="楷体"/>
          <w:b/>
          <w:color w:val="000000" w:themeColor="text1"/>
          <w:sz w:val="32"/>
          <w:szCs w:val="32"/>
          <w:highlight w:val="none"/>
          <w14:textFill>
            <w14:solidFill>
              <w14:schemeClr w14:val="tx1"/>
            </w14:solidFill>
          </w14:textFill>
        </w:rPr>
      </w:pPr>
      <w:r>
        <w:rPr>
          <w:rFonts w:ascii="Times New Roman" w:hAnsi="Times New Roman" w:eastAsia="楷体"/>
          <w:b/>
          <w:color w:val="000000" w:themeColor="text1"/>
          <w:sz w:val="32"/>
          <w:szCs w:val="32"/>
          <w:highlight w:val="none"/>
          <w14:textFill>
            <w14:solidFill>
              <w14:schemeClr w14:val="tx1"/>
            </w14:solidFill>
          </w14:textFill>
        </w:rPr>
        <w:t>（二）一般公共预算拨款结构情况。</w:t>
      </w:r>
    </w:p>
    <w:p w14:paraId="0CCE58C2">
      <w:pPr>
        <w:spacing w:line="560" w:lineRule="exact"/>
        <w:ind w:firstLine="640" w:firstLineChars="200"/>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ascii="Times New Roman" w:hAnsi="Times New Roman" w:eastAsia="仿宋_GB2312" w:cs="Times New Roman"/>
          <w:color w:val="000000" w:themeColor="text1"/>
          <w:kern w:val="2"/>
          <w:sz w:val="32"/>
          <w:szCs w:val="32"/>
          <w:highlight w:val="none"/>
          <w14:textFill>
            <w14:solidFill>
              <w14:schemeClr w14:val="tx1"/>
            </w14:solidFill>
          </w14:textFill>
        </w:rPr>
        <w:t>社会保障和就业支出</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35.4</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5.18</w:t>
      </w:r>
      <w:r>
        <w:rPr>
          <w:rFonts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城乡社区支出</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621.31万元，占90.93%；</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住房保障支出</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26.55</w:t>
      </w:r>
      <w:r>
        <w:rPr>
          <w:rFonts w:ascii="Times New Roman" w:hAnsi="Times New Roman" w:eastAsia="仿宋_GB2312" w:cs="Times New Roman"/>
          <w:color w:val="000000" w:themeColor="text1"/>
          <w:kern w:val="2"/>
          <w:sz w:val="32"/>
          <w:szCs w:val="32"/>
          <w:highlight w:val="none"/>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3.89</w:t>
      </w:r>
      <w:r>
        <w:rPr>
          <w:rFonts w:ascii="Times New Roman" w:hAnsi="Times New Roman" w:eastAsia="仿宋_GB2312" w:cs="Times New Roman"/>
          <w:color w:val="000000" w:themeColor="text1"/>
          <w:kern w:val="2"/>
          <w:sz w:val="32"/>
          <w:szCs w:val="32"/>
          <w:highlight w:val="none"/>
          <w14:textFill>
            <w14:solidFill>
              <w14:schemeClr w14:val="tx1"/>
            </w14:solidFill>
          </w14:textFill>
        </w:rPr>
        <w:t>%。</w:t>
      </w:r>
    </w:p>
    <w:p w14:paraId="215C42F3">
      <w:pPr>
        <w:spacing w:line="560" w:lineRule="exact"/>
        <w:ind w:firstLine="643" w:firstLineChars="200"/>
        <w:rPr>
          <w:rFonts w:ascii="Times New Roman" w:hAnsi="Times New Roman" w:eastAsia="楷体"/>
          <w:b/>
          <w:color w:val="000000" w:themeColor="text1"/>
          <w:sz w:val="32"/>
          <w:szCs w:val="32"/>
          <w:highlight w:val="none"/>
          <w14:textFill>
            <w14:solidFill>
              <w14:schemeClr w14:val="tx1"/>
            </w14:solidFill>
          </w14:textFill>
        </w:rPr>
      </w:pPr>
      <w:r>
        <w:rPr>
          <w:rFonts w:ascii="Times New Roman" w:hAnsi="Times New Roman" w:eastAsia="楷体"/>
          <w:b/>
          <w:color w:val="000000" w:themeColor="text1"/>
          <w:sz w:val="32"/>
          <w:szCs w:val="32"/>
          <w:highlight w:val="none"/>
          <w14:textFill>
            <w14:solidFill>
              <w14:schemeClr w14:val="tx1"/>
            </w14:solidFill>
          </w14:textFill>
        </w:rPr>
        <w:t>（三）一般公共预算拨款具体使用情况。</w:t>
      </w:r>
    </w:p>
    <w:p w14:paraId="1448B3FF">
      <w:pPr>
        <w:adjustRightInd w:val="0"/>
        <w:snapToGrid w:val="0"/>
        <w:spacing w:line="560" w:lineRule="exact"/>
        <w:ind w:firstLine="643"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
          <w:color w:val="000000" w:themeColor="text1"/>
          <w:sz w:val="32"/>
          <w:szCs w:val="32"/>
          <w:highlight w:val="none"/>
          <w:lang w:val="en-US" w:eastAsia="zh-CN"/>
          <w14:textFill>
            <w14:solidFill>
              <w14:schemeClr w14:val="tx1"/>
            </w14:solidFill>
          </w14:textFill>
        </w:rPr>
        <w:t>1</w:t>
      </w:r>
      <w:r>
        <w:rPr>
          <w:rFonts w:ascii="Times New Roman" w:hAnsi="Times New Roman" w:eastAsia="仿宋_GB2312"/>
          <w:b/>
          <w:color w:val="000000" w:themeColor="text1"/>
          <w:sz w:val="32"/>
          <w:szCs w:val="32"/>
          <w:highlight w:val="none"/>
          <w14:textFill>
            <w14:solidFill>
              <w14:schemeClr w14:val="tx1"/>
            </w14:solidFill>
          </w14:textFill>
        </w:rPr>
        <w:t>.社会保障和就业支出（类）行政事业单位养老支出（款）</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机关事业单位基本养老保险缴费支出</w:t>
      </w:r>
      <w:r>
        <w:rPr>
          <w:rFonts w:ascii="Times New Roman" w:hAnsi="Times New Roman" w:eastAsia="仿宋_GB2312"/>
          <w:b/>
          <w:color w:val="000000" w:themeColor="text1"/>
          <w:sz w:val="32"/>
          <w:szCs w:val="32"/>
          <w:highlight w:val="none"/>
          <w14:textFill>
            <w14:solidFill>
              <w14:schemeClr w14:val="tx1"/>
            </w14:solidFill>
          </w14:textFill>
        </w:rPr>
        <w:t>（项）</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14:textFill>
            <w14:solidFill>
              <w14:schemeClr w14:val="tx1"/>
            </w14:solidFill>
          </w14:textFill>
        </w:rPr>
        <w:t>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35.4</w:t>
      </w:r>
      <w:r>
        <w:rPr>
          <w:rFonts w:ascii="Times New Roman" w:hAnsi="Times New Roman"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较2022年</w:t>
      </w:r>
      <w:r>
        <w:rPr>
          <w:rFonts w:ascii="Times New Roman" w:hAnsi="Times New Roman" w:eastAsia="仿宋_GB2312"/>
          <w:color w:val="000000" w:themeColor="text1"/>
          <w:sz w:val="32"/>
          <w:szCs w:val="32"/>
          <w:highlight w:val="none"/>
          <w14:textFill>
            <w14:solidFill>
              <w14:schemeClr w14:val="tx1"/>
            </w14:solidFill>
          </w14:textFill>
        </w:rPr>
        <w:t>预算增加</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9.39</w:t>
      </w:r>
      <w:r>
        <w:rPr>
          <w:rFonts w:ascii="Times New Roman" w:hAnsi="Times New Roman" w:eastAsia="仿宋_GB2312"/>
          <w:color w:val="000000" w:themeColor="text1"/>
          <w:sz w:val="32"/>
          <w:szCs w:val="32"/>
          <w:highlight w:val="none"/>
          <w14:textFill>
            <w14:solidFill>
              <w14:schemeClr w14:val="tx1"/>
            </w14:solidFill>
          </w14:textFill>
        </w:rPr>
        <w:t>万元，增长</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36.1</w:t>
      </w:r>
      <w:r>
        <w:rPr>
          <w:rFonts w:ascii="Times New Roman" w:hAnsi="Times New Roman" w:eastAsia="仿宋_GB2312"/>
          <w:color w:val="000000" w:themeColor="text1"/>
          <w:sz w:val="32"/>
          <w:szCs w:val="32"/>
          <w:highlight w:val="none"/>
          <w14:textFill>
            <w14:solidFill>
              <w14:schemeClr w14:val="tx1"/>
            </w14:solidFill>
          </w14:textFill>
        </w:rPr>
        <w:t>%，增长原因主要是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养老保险基数调整</w:t>
      </w:r>
      <w:r>
        <w:rPr>
          <w:rFonts w:ascii="Times New Roman" w:hAnsi="Times New Roman" w:eastAsia="仿宋_GB2312"/>
          <w:color w:val="000000" w:themeColor="text1"/>
          <w:sz w:val="32"/>
          <w:szCs w:val="32"/>
          <w:highlight w:val="none"/>
          <w14:textFill>
            <w14:solidFill>
              <w14:schemeClr w14:val="tx1"/>
            </w14:solidFill>
          </w14:textFill>
        </w:rPr>
        <w:t>。</w:t>
      </w:r>
    </w:p>
    <w:p w14:paraId="228DC98B">
      <w:pPr>
        <w:adjustRightInd w:val="0"/>
        <w:snapToGrid w:val="0"/>
        <w:spacing w:line="560" w:lineRule="exact"/>
        <w:ind w:firstLine="643" w:firstLineChars="200"/>
        <w:rPr>
          <w:rFonts w:hint="default" w:ascii="Times New Roman" w:hAnsi="Times New Roman" w:eastAsia="仿宋_GB2312"/>
          <w:b/>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b/>
          <w:color w:val="000000" w:themeColor="text1"/>
          <w:sz w:val="32"/>
          <w:szCs w:val="32"/>
          <w:highlight w:val="none"/>
          <w:lang w:val="en-US" w:eastAsia="zh-CN"/>
          <w14:textFill>
            <w14:solidFill>
              <w14:schemeClr w14:val="tx1"/>
            </w14:solidFill>
          </w14:textFill>
        </w:rPr>
        <w:t>2</w:t>
      </w:r>
      <w:r>
        <w:rPr>
          <w:rFonts w:ascii="Times New Roman" w:hAnsi="Times New Roman" w:eastAsia="仿宋_GB2312"/>
          <w:b/>
          <w:color w:val="000000" w:themeColor="text1"/>
          <w:sz w:val="32"/>
          <w:szCs w:val="32"/>
          <w:highlight w:val="none"/>
          <w14:textFill>
            <w14:solidFill>
              <w14:schemeClr w14:val="tx1"/>
            </w14:solidFill>
          </w14:textFill>
        </w:rPr>
        <w:t>.</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城乡社区支出</w:t>
      </w:r>
      <w:r>
        <w:rPr>
          <w:rFonts w:ascii="Times New Roman" w:hAnsi="Times New Roman" w:eastAsia="仿宋_GB2312"/>
          <w:b/>
          <w:color w:val="000000" w:themeColor="text1"/>
          <w:sz w:val="32"/>
          <w:szCs w:val="32"/>
          <w:highlight w:val="none"/>
          <w14:textFill>
            <w14:solidFill>
              <w14:schemeClr w14:val="tx1"/>
            </w14:solidFill>
          </w14:textFill>
        </w:rPr>
        <w:t>（类）</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城乡社区管理事务</w:t>
      </w:r>
      <w:r>
        <w:rPr>
          <w:rFonts w:ascii="Times New Roman" w:hAnsi="Times New Roman" w:eastAsia="仿宋_GB2312"/>
          <w:b/>
          <w:color w:val="000000" w:themeColor="text1"/>
          <w:sz w:val="32"/>
          <w:szCs w:val="32"/>
          <w:highlight w:val="none"/>
          <w14:textFill>
            <w14:solidFill>
              <w14:schemeClr w14:val="tx1"/>
            </w14:solidFill>
          </w14:textFill>
        </w:rPr>
        <w:t>（款）</w:t>
      </w:r>
      <w:r>
        <w:rPr>
          <w:rFonts w:hint="eastAsia" w:ascii="Times New Roman" w:hAnsi="Times New Roman" w:eastAsia="仿宋_GB2312"/>
          <w:b/>
          <w:color w:val="000000" w:themeColor="text1"/>
          <w:sz w:val="32"/>
          <w:szCs w:val="32"/>
          <w:highlight w:val="none"/>
          <w:lang w:eastAsia="zh-CN"/>
          <w14:textFill>
            <w14:solidFill>
              <w14:schemeClr w14:val="tx1"/>
            </w14:solidFill>
          </w14:textFill>
        </w:rPr>
        <w:t>工程建设编制规范编制与监管</w:t>
      </w:r>
      <w:r>
        <w:rPr>
          <w:rFonts w:ascii="Times New Roman" w:hAnsi="Times New Roman" w:eastAsia="仿宋_GB2312"/>
          <w:b/>
          <w:color w:val="000000" w:themeColor="text1"/>
          <w:sz w:val="32"/>
          <w:szCs w:val="32"/>
          <w:highlight w:val="none"/>
          <w14:textFill>
            <w14:solidFill>
              <w14:schemeClr w14:val="tx1"/>
            </w14:solidFill>
          </w14:textFill>
        </w:rPr>
        <w:t>（项）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2023年预算621.31万元，较2022年预算增加188.1万元，增长43.42%，增长的主要原因是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基础绩效奖列入年度预算。</w:t>
      </w:r>
    </w:p>
    <w:p w14:paraId="492520D5">
      <w:pPr>
        <w:adjustRightInd w:val="0"/>
        <w:snapToGrid w:val="0"/>
        <w:spacing w:line="560" w:lineRule="exact"/>
        <w:ind w:firstLine="643"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14:textFill>
            <w14:solidFill>
              <w14:schemeClr w14:val="tx1"/>
            </w14:solidFill>
          </w14:textFill>
        </w:rPr>
        <w:t>4.住房保障支出（类）住房改革支出（款）住房公积金（项）</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14:textFill>
            <w14:solidFill>
              <w14:schemeClr w14:val="tx1"/>
            </w14:solidFill>
          </w14:textFill>
        </w:rPr>
        <w:t>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26.55</w:t>
      </w:r>
      <w:r>
        <w:rPr>
          <w:rFonts w:ascii="Times New Roman" w:hAnsi="Times New Roman"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较2022年</w:t>
      </w:r>
      <w:r>
        <w:rPr>
          <w:rFonts w:ascii="Times New Roman" w:hAnsi="Times New Roman" w:eastAsia="仿宋_GB2312"/>
          <w:color w:val="000000" w:themeColor="text1"/>
          <w:sz w:val="32"/>
          <w:szCs w:val="32"/>
          <w:highlight w:val="none"/>
          <w14:textFill>
            <w14:solidFill>
              <w14:schemeClr w14:val="tx1"/>
            </w14:solidFill>
          </w14:textFill>
        </w:rPr>
        <w:t>预算增加</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7.04</w:t>
      </w:r>
      <w:r>
        <w:rPr>
          <w:rFonts w:ascii="Times New Roman" w:hAnsi="Times New Roman" w:eastAsia="仿宋_GB2312"/>
          <w:color w:val="000000" w:themeColor="text1"/>
          <w:sz w:val="32"/>
          <w:szCs w:val="32"/>
          <w:highlight w:val="none"/>
          <w14:textFill>
            <w14:solidFill>
              <w14:schemeClr w14:val="tx1"/>
            </w14:solidFill>
          </w14:textFill>
        </w:rPr>
        <w:t>万元，增长</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36.08</w:t>
      </w:r>
      <w:r>
        <w:rPr>
          <w:rFonts w:ascii="Times New Roman" w:hAnsi="Times New Roman" w:eastAsia="仿宋_GB2312"/>
          <w:color w:val="000000" w:themeColor="text1"/>
          <w:sz w:val="32"/>
          <w:szCs w:val="32"/>
          <w:highlight w:val="none"/>
          <w14:textFill>
            <w14:solidFill>
              <w14:schemeClr w14:val="tx1"/>
            </w14:solidFill>
          </w14:textFill>
        </w:rPr>
        <w:t>%，增长原因主要是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住房公积金基数调整</w:t>
      </w:r>
      <w:r>
        <w:rPr>
          <w:rFonts w:ascii="Times New Roman" w:hAnsi="Times New Roman" w:eastAsia="仿宋_GB2312"/>
          <w:color w:val="000000" w:themeColor="text1"/>
          <w:sz w:val="32"/>
          <w:szCs w:val="32"/>
          <w:highlight w:val="none"/>
          <w14:textFill>
            <w14:solidFill>
              <w14:schemeClr w14:val="tx1"/>
            </w14:solidFill>
          </w14:textFill>
        </w:rPr>
        <w:t>。</w:t>
      </w:r>
    </w:p>
    <w:p w14:paraId="5F6BB99E">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六</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一般公共预算基本支出</w:t>
      </w:r>
      <w:r>
        <w:rPr>
          <w:rFonts w:hint="eastAsia" w:ascii="Times New Roman" w:hAnsi="Times New Roman" w:eastAsia="黑体"/>
          <w:color w:val="000000" w:themeColor="text1"/>
          <w:sz w:val="32"/>
          <w:szCs w:val="32"/>
          <w:highlight w:val="none"/>
          <w:lang w:eastAsia="zh-CN"/>
          <w14:textFill>
            <w14:solidFill>
              <w14:schemeClr w14:val="tx1"/>
            </w14:solidFill>
          </w14:textFill>
        </w:rPr>
        <w:t>表的</w:t>
      </w:r>
      <w:r>
        <w:rPr>
          <w:rFonts w:ascii="Times New Roman" w:hAnsi="Times New Roman" w:eastAsia="黑体"/>
          <w:color w:val="000000" w:themeColor="text1"/>
          <w:sz w:val="32"/>
          <w:szCs w:val="32"/>
          <w:highlight w:val="none"/>
          <w14:textFill>
            <w14:solidFill>
              <w14:schemeClr w14:val="tx1"/>
            </w14:solidFill>
          </w14:textFill>
        </w:rPr>
        <w:t>说明</w:t>
      </w:r>
    </w:p>
    <w:p w14:paraId="42FAC5F2">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14:textFill>
            <w14:solidFill>
              <w14:schemeClr w14:val="tx1"/>
            </w14:solidFill>
          </w14:textFill>
        </w:rPr>
        <w:t>一般公共预算基本支出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683.27</w:t>
      </w:r>
      <w:r>
        <w:rPr>
          <w:rFonts w:ascii="Times New Roman" w:hAnsi="Times New Roman"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olor w:val="000000" w:themeColor="text1"/>
          <w:sz w:val="32"/>
          <w:szCs w:val="32"/>
          <w:highlight w:val="none"/>
          <w14:textFill>
            <w14:solidFill>
              <w14:schemeClr w14:val="tx1"/>
            </w14:solidFill>
          </w14:textFill>
        </w:rPr>
        <w:t>其中，人员经费</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626.89</w:t>
      </w:r>
      <w:r>
        <w:rPr>
          <w:rFonts w:hint="eastAsia" w:ascii="Times New Roman" w:hAnsi="Times New Roman" w:eastAsia="仿宋_GB2312"/>
          <w:color w:val="000000" w:themeColor="text1"/>
          <w:sz w:val="32"/>
          <w:szCs w:val="32"/>
          <w:highlight w:val="none"/>
          <w14:textFill>
            <w14:solidFill>
              <w14:schemeClr w14:val="tx1"/>
            </w14:solidFill>
          </w14:textFill>
        </w:rPr>
        <w:t>万元，公用经费</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56.38</w:t>
      </w:r>
      <w:r>
        <w:rPr>
          <w:rFonts w:hint="eastAsia" w:ascii="Times New Roman" w:hAnsi="Times New Roman" w:eastAsia="仿宋_GB2312"/>
          <w:color w:val="000000" w:themeColor="text1"/>
          <w:sz w:val="32"/>
          <w:szCs w:val="32"/>
          <w:highlight w:val="none"/>
          <w14:textFill>
            <w14:solidFill>
              <w14:schemeClr w14:val="tx1"/>
            </w14:solidFill>
          </w14:textFill>
        </w:rPr>
        <w:t>万元。</w:t>
      </w:r>
    </w:p>
    <w:p w14:paraId="4E3332CC">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（一）人员经费</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626.89</w:t>
      </w:r>
      <w:r>
        <w:rPr>
          <w:rFonts w:hint="eastAsia" w:ascii="Times New Roman" w:hAnsi="Times New Roman" w:eastAsia="仿宋_GB2312"/>
          <w:color w:val="000000" w:themeColor="text1"/>
          <w:sz w:val="32"/>
          <w:szCs w:val="32"/>
          <w:highlight w:val="none"/>
          <w14:textFill>
            <w14:solidFill>
              <w14:schemeClr w14:val="tx1"/>
            </w14:solidFill>
          </w14:textFill>
        </w:rPr>
        <w:t>万元，主要包括:基本工资、津贴补贴、奖金、伙食补助费、绩效工资、机关事业单位基本养老保险费、职工基本医疗保险缴费、其他社会保障缴费、住房公积金、医疗费、其他工资福利支出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、退休费、生活补助、医疗费补助等</w:t>
      </w:r>
      <w:r>
        <w:rPr>
          <w:rFonts w:hint="eastAsia" w:ascii="Times New Roman" w:hAnsi="Times New Roman" w:eastAsia="仿宋_GB2312"/>
          <w:color w:val="000000" w:themeColor="text1"/>
          <w:sz w:val="32"/>
          <w:szCs w:val="32"/>
          <w:highlight w:val="none"/>
          <w14:textFill>
            <w14:solidFill>
              <w14:schemeClr w14:val="tx1"/>
            </w14:solidFill>
          </w14:textFill>
        </w:rPr>
        <w:t>。</w:t>
      </w:r>
    </w:p>
    <w:p w14:paraId="05417BEC">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（二）公用经费</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56.38</w:t>
      </w:r>
      <w:r>
        <w:rPr>
          <w:rFonts w:hint="eastAsia" w:ascii="Times New Roman" w:hAnsi="Times New Roman" w:eastAsia="仿宋_GB2312"/>
          <w:color w:val="000000" w:themeColor="text1"/>
          <w:sz w:val="32"/>
          <w:szCs w:val="32"/>
          <w:highlight w:val="none"/>
          <w14:textFill>
            <w14:solidFill>
              <w14:schemeClr w14:val="tx1"/>
            </w14:solidFill>
          </w14:textFill>
        </w:rPr>
        <w:t>万元，主要包括：办公费、物业管理费、差旅费、会议费、公务接待费</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工会经费、福利费、公务用车运行维护费、其他交通费用等。</w:t>
      </w:r>
    </w:p>
    <w:p w14:paraId="3043D7A6">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七</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政府性基金预算拨款情况说明</w:t>
      </w:r>
    </w:p>
    <w:p w14:paraId="2AD212FF">
      <w:pPr>
        <w:pStyle w:val="5"/>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s="Times New Roman"/>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s="Times New Roman"/>
          <w:color w:val="000000" w:themeColor="text1"/>
          <w:sz w:val="32"/>
          <w:szCs w:val="32"/>
          <w:highlight w:val="none"/>
          <w:u w:val="none"/>
          <w14:textFill>
            <w14:solidFill>
              <w14:schemeClr w14:val="tx1"/>
            </w14:solidFill>
          </w14:textFill>
        </w:rPr>
        <w:t>没有政府性基金预算拨款收入，也没有使用政府性基金预算拨款安排的支出。</w:t>
      </w:r>
    </w:p>
    <w:p w14:paraId="42D2BE7D">
      <w:pPr>
        <w:spacing w:line="560" w:lineRule="exact"/>
        <w:ind w:firstLine="640" w:firstLineChars="200"/>
        <w:rPr>
          <w:rFonts w:ascii="Times New Roman" w:hAnsi="Times New Roman" w:eastAsia="黑体"/>
          <w:color w:val="000000" w:themeColor="text1"/>
          <w:sz w:val="32"/>
          <w:szCs w:val="32"/>
          <w:highlight w:val="none"/>
          <w:u w:val="none"/>
          <w14:textFill>
            <w14:solidFill>
              <w14:schemeClr w14:val="tx1"/>
            </w14:solidFill>
          </w14:textFill>
        </w:rPr>
      </w:pPr>
      <w:r>
        <w:rPr>
          <w:rFonts w:hint="eastAsia" w:ascii="Times New Roman" w:hAnsi="Times New Roman" w:eastAsia="黑体"/>
          <w:color w:val="000000" w:themeColor="text1"/>
          <w:sz w:val="32"/>
          <w:szCs w:val="32"/>
          <w:highlight w:val="none"/>
          <w:u w:val="none"/>
          <w:lang w:eastAsia="zh-CN"/>
          <w14:textFill>
            <w14:solidFill>
              <w14:schemeClr w14:val="tx1"/>
            </w14:solidFill>
          </w14:textFill>
        </w:rPr>
        <w:t>八</w:t>
      </w:r>
      <w:r>
        <w:rPr>
          <w:rFonts w:ascii="Times New Roman" w:hAnsi="Times New Roman" w:eastAsia="黑体"/>
          <w:color w:val="000000" w:themeColor="text1"/>
          <w:sz w:val="32"/>
          <w:szCs w:val="32"/>
          <w:highlight w:val="none"/>
          <w:u w:val="none"/>
          <w14:textFill>
            <w14:solidFill>
              <w14:schemeClr w14:val="tx1"/>
            </w14:solidFill>
          </w14:textFill>
        </w:rPr>
        <w:t>、关于</w:t>
      </w:r>
      <w:r>
        <w:rPr>
          <w:rFonts w:hint="eastAsia" w:ascii="Times New Roman" w:hAnsi="Times New Roman" w:eastAsia="黑体"/>
          <w:color w:val="000000" w:themeColor="text1"/>
          <w:sz w:val="32"/>
          <w:szCs w:val="32"/>
          <w:highlight w:val="none"/>
          <w:u w:val="none"/>
          <w:lang w:eastAsia="zh-CN"/>
          <w14:textFill>
            <w14:solidFill>
              <w14:schemeClr w14:val="tx1"/>
            </w14:solidFill>
          </w14:textFill>
        </w:rPr>
        <w:t>2023年</w:t>
      </w:r>
      <w:r>
        <w:rPr>
          <w:rFonts w:ascii="Times New Roman" w:hAnsi="Times New Roman" w:eastAsia="黑体"/>
          <w:color w:val="000000" w:themeColor="text1"/>
          <w:sz w:val="32"/>
          <w:szCs w:val="32"/>
          <w:highlight w:val="none"/>
          <w:u w:val="none"/>
          <w14:textFill>
            <w14:solidFill>
              <w14:schemeClr w14:val="tx1"/>
            </w14:solidFill>
          </w14:textFill>
        </w:rPr>
        <w:t>国有资本经营预算拨款情况说明</w:t>
      </w:r>
    </w:p>
    <w:p w14:paraId="1DE08F58">
      <w:pPr>
        <w:pStyle w:val="5"/>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s="Times New Roman"/>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2023年</w:t>
      </w:r>
      <w:r>
        <w:rPr>
          <w:rFonts w:ascii="Times New Roman" w:hAnsi="Times New Roman" w:eastAsia="仿宋_GB2312" w:cs="Times New Roman"/>
          <w:color w:val="000000" w:themeColor="text1"/>
          <w:sz w:val="32"/>
          <w:szCs w:val="32"/>
          <w:highlight w:val="none"/>
          <w:u w:val="none"/>
          <w14:textFill>
            <w14:solidFill>
              <w14:schemeClr w14:val="tx1"/>
            </w14:solidFill>
          </w14:textFill>
        </w:rPr>
        <w:t>没有国有资本经营预算拨款收入，也没有使用国有资本</w:t>
      </w:r>
      <w:r>
        <w:rPr>
          <w:rFonts w:ascii="Times New Roman" w:hAnsi="Times New Roman" w:eastAsia="仿宋_GB2312" w:cs="Times New Roman"/>
          <w:color w:val="000000" w:themeColor="text1"/>
          <w:sz w:val="32"/>
          <w:szCs w:val="32"/>
          <w:highlight w:val="none"/>
          <w14:textFill>
            <w14:solidFill>
              <w14:schemeClr w14:val="tx1"/>
            </w14:solidFill>
          </w14:textFill>
        </w:rPr>
        <w:t>经营预算拨款安排的支出。</w:t>
      </w:r>
    </w:p>
    <w:p w14:paraId="0E4DDF3C">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九、关于2023年项目支出表的说明</w:t>
      </w:r>
    </w:p>
    <w:p w14:paraId="64C73C82">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u w:val="none"/>
          <w:lang w:eastAsia="zh-CN"/>
        </w:rPr>
        <w:t>六安市</w:t>
      </w:r>
      <w:r>
        <w:rPr>
          <w:rFonts w:hint="default" w:ascii="仿宋_GB2312" w:hAnsi="仿宋" w:eastAsia="仿宋_GB2312"/>
          <w:sz w:val="32"/>
          <w:szCs w:val="32"/>
          <w:highlight w:val="none"/>
          <w:u w:val="none"/>
          <w:lang w:val="en" w:eastAsia="zh-CN"/>
        </w:rPr>
        <w:t>重点工程建设管理处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没有使用一般公共预算拨款、政府性基金预算拨款、国有资本经营预算拨款、财政专户管理资金和单位资金安排的项目支出。</w:t>
      </w:r>
    </w:p>
    <w:p w14:paraId="3AE34121">
      <w:pPr>
        <w:pStyle w:val="5"/>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关于2023年政府采购支出表的说明</w:t>
      </w:r>
    </w:p>
    <w:p w14:paraId="785AFBF9">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仿宋_GB2312" w:hAnsi="仿宋" w:eastAsia="仿宋_GB2312"/>
          <w:sz w:val="32"/>
          <w:szCs w:val="32"/>
          <w:highlight w:val="none"/>
          <w:u w:val="none"/>
        </w:rPr>
      </w:pPr>
      <w:r>
        <w:rPr>
          <w:rFonts w:hint="eastAsia" w:ascii="仿宋_GB2312" w:hAnsi="仿宋" w:eastAsia="仿宋_GB2312"/>
          <w:sz w:val="32"/>
          <w:szCs w:val="32"/>
          <w:highlight w:val="none"/>
          <w:u w:val="none"/>
          <w:lang w:eastAsia="zh-CN"/>
        </w:rPr>
        <w:t>六安市</w:t>
      </w:r>
      <w:r>
        <w:rPr>
          <w:rFonts w:hint="default" w:ascii="仿宋_GB2312" w:hAnsi="仿宋" w:eastAsia="仿宋_GB2312"/>
          <w:sz w:val="32"/>
          <w:szCs w:val="32"/>
          <w:highlight w:val="none"/>
          <w:u w:val="none"/>
          <w:lang w:val="en" w:eastAsia="zh-CN"/>
        </w:rPr>
        <w:t>重点工程建设管理处</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2023年没有使用一般公共预算拨款、政府性基金预算拨款、国有资本经营预算拨款、财政专户管理资金和单位资金安排的政府采购支出。</w:t>
      </w:r>
    </w:p>
    <w:p w14:paraId="71540116">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黑体" w:hAnsi="仿宋" w:eastAsia="黑体"/>
          <w:sz w:val="32"/>
          <w:szCs w:val="32"/>
          <w:highlight w:val="none"/>
          <w:u w:val="none"/>
        </w:rPr>
      </w:pPr>
      <w:r>
        <w:rPr>
          <w:rFonts w:hint="eastAsia" w:ascii="黑体" w:hAnsi="仿宋" w:eastAsia="黑体"/>
          <w:sz w:val="32"/>
          <w:szCs w:val="32"/>
          <w:highlight w:val="none"/>
          <w:u w:val="none"/>
        </w:rPr>
        <w:t>十一、关于</w:t>
      </w:r>
      <w:r>
        <w:rPr>
          <w:rFonts w:hint="eastAsia" w:ascii="黑体" w:hAnsi="仿宋" w:eastAsia="黑体"/>
          <w:sz w:val="32"/>
          <w:szCs w:val="32"/>
          <w:highlight w:val="none"/>
          <w:u w:val="none"/>
          <w:lang w:eastAsia="zh-CN"/>
        </w:rPr>
        <w:t>2023年</w:t>
      </w:r>
      <w:r>
        <w:rPr>
          <w:rFonts w:hint="eastAsia" w:ascii="黑体" w:hAnsi="仿宋" w:eastAsia="黑体"/>
          <w:sz w:val="32"/>
          <w:szCs w:val="32"/>
          <w:highlight w:val="none"/>
          <w:u w:val="none"/>
        </w:rPr>
        <w:t>政府购买服务支出表的说明</w:t>
      </w:r>
    </w:p>
    <w:p w14:paraId="3FFAE5C7">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仿宋_GB2312" w:hAnsi="仿宋" w:eastAsia="仿宋_GB2312"/>
          <w:sz w:val="32"/>
          <w:szCs w:val="32"/>
          <w:highlight w:val="none"/>
          <w:u w:val="none"/>
          <w:lang w:eastAsia="zh-CN"/>
        </w:rPr>
        <w:t>六安市</w:t>
      </w:r>
      <w:r>
        <w:rPr>
          <w:rFonts w:hint="default" w:ascii="仿宋_GB2312" w:hAnsi="仿宋" w:eastAsia="仿宋_GB2312"/>
          <w:sz w:val="32"/>
          <w:szCs w:val="32"/>
          <w:highlight w:val="none"/>
          <w:u w:val="none"/>
          <w:lang w:val="en" w:eastAsia="zh-CN"/>
        </w:rPr>
        <w:t>重点工程建设管理处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2023年没有安排政府购买服务支出。</w:t>
      </w:r>
    </w:p>
    <w:p w14:paraId="4A807220">
      <w:p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eastAsia="zh-CN"/>
          <w14:textFill>
            <w14:solidFill>
              <w14:schemeClr w14:val="tx1"/>
            </w14:solidFill>
          </w14:textFill>
        </w:rPr>
        <w:t>十二</w:t>
      </w:r>
      <w:r>
        <w:rPr>
          <w:rFonts w:ascii="Times New Roman" w:hAnsi="Times New Roman" w:eastAsia="黑体"/>
          <w:color w:val="000000" w:themeColor="text1"/>
          <w:sz w:val="32"/>
          <w:szCs w:val="32"/>
          <w:highlight w:val="none"/>
          <w14:textFill>
            <w14:solidFill>
              <w14:schemeClr w14:val="tx1"/>
            </w14:solidFill>
          </w14:textFill>
        </w:rPr>
        <w:t>、关于</w:t>
      </w:r>
      <w:r>
        <w:rPr>
          <w:rFonts w:hint="eastAsia" w:ascii="Times New Roman" w:hAnsi="Times New Roman" w:eastAsia="黑体"/>
          <w:color w:val="000000" w:themeColor="text1"/>
          <w:sz w:val="32"/>
          <w:szCs w:val="32"/>
          <w:highlight w:val="none"/>
          <w:lang w:eastAsia="zh-CN"/>
          <w14:textFill>
            <w14:solidFill>
              <w14:schemeClr w14:val="tx1"/>
            </w14:solidFill>
          </w14:textFill>
        </w:rPr>
        <w:t>2023年</w:t>
      </w:r>
      <w:r>
        <w:rPr>
          <w:rFonts w:ascii="Times New Roman" w:hAnsi="Times New Roman" w:eastAsia="黑体"/>
          <w:color w:val="000000" w:themeColor="text1"/>
          <w:sz w:val="32"/>
          <w:szCs w:val="32"/>
          <w:highlight w:val="none"/>
          <w14:textFill>
            <w14:solidFill>
              <w14:schemeClr w14:val="tx1"/>
            </w14:solidFill>
          </w14:textFill>
        </w:rPr>
        <w:t>“三公”经费</w:t>
      </w:r>
      <w:r>
        <w:rPr>
          <w:rFonts w:hint="eastAsia" w:ascii="Times New Roman" w:hAnsi="Times New Roman" w:eastAsia="黑体"/>
          <w:color w:val="000000" w:themeColor="text1"/>
          <w:sz w:val="32"/>
          <w:szCs w:val="32"/>
          <w:highlight w:val="none"/>
          <w14:textFill>
            <w14:solidFill>
              <w14:schemeClr w14:val="tx1"/>
            </w14:solidFill>
          </w14:textFill>
        </w:rPr>
        <w:t>支出</w:t>
      </w:r>
      <w:r>
        <w:rPr>
          <w:rFonts w:ascii="Times New Roman" w:hAnsi="Times New Roman" w:eastAsia="黑体"/>
          <w:color w:val="000000" w:themeColor="text1"/>
          <w:sz w:val="32"/>
          <w:szCs w:val="32"/>
          <w:highlight w:val="none"/>
          <w14:textFill>
            <w14:solidFill>
              <w14:schemeClr w14:val="tx1"/>
            </w14:solidFill>
          </w14:textFill>
        </w:rPr>
        <w:t>预算情况说明</w:t>
      </w:r>
    </w:p>
    <w:p w14:paraId="58FD57F7">
      <w:pPr>
        <w:spacing w:line="60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14:textFill>
            <w14:solidFill>
              <w14:schemeClr w14:val="tx1"/>
            </w14:solidFill>
          </w14:textFill>
        </w:rPr>
        <w:t>一般公共预算财政拨款</w:t>
      </w:r>
      <w:r>
        <w:rPr>
          <w:rFonts w:ascii="Times New Roman" w:hAnsi="Times New Roman" w:eastAsia="仿宋_GB2312"/>
          <w:color w:val="000000" w:themeColor="text1"/>
          <w:sz w:val="32"/>
          <w:szCs w:val="32"/>
          <w:highlight w:val="none"/>
          <w14:textFill>
            <w14:solidFill>
              <w14:schemeClr w14:val="tx1"/>
            </w14:solidFill>
          </w14:textFill>
        </w:rPr>
        <w:t>“三公”经费支出预算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5.5</w:t>
      </w:r>
      <w:r>
        <w:rPr>
          <w:rFonts w:ascii="Times New Roman" w:hAnsi="Times New Roman"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olor w:val="000000" w:themeColor="text1"/>
          <w:sz w:val="32"/>
          <w:szCs w:val="32"/>
          <w:highlight w:val="none"/>
          <w14:textFill>
            <w14:solidFill>
              <w14:schemeClr w14:val="tx1"/>
            </w14:solidFill>
          </w14:textFill>
        </w:rPr>
        <w:t>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hint="eastAsia" w:ascii="Times New Roman" w:hAnsi="Times New Roman" w:eastAsia="仿宋_GB2312"/>
          <w:color w:val="000000" w:themeColor="text1"/>
          <w:sz w:val="32"/>
          <w:szCs w:val="32"/>
          <w:highlight w:val="none"/>
          <w14:textFill>
            <w14:solidFill>
              <w14:schemeClr w14:val="tx1"/>
            </w14:solidFill>
          </w14:textFill>
        </w:rPr>
        <w:t>相比持平</w:t>
      </w:r>
      <w:r>
        <w:rPr>
          <w:rFonts w:ascii="Times New Roman" w:hAnsi="Times New Roman" w:eastAsia="仿宋_GB2312"/>
          <w:color w:val="000000" w:themeColor="text1"/>
          <w:sz w:val="32"/>
          <w:szCs w:val="32"/>
          <w:highlight w:val="none"/>
          <w14:textFill>
            <w14:solidFill>
              <w14:schemeClr w14:val="tx1"/>
            </w14:solidFill>
          </w14:textFill>
        </w:rPr>
        <w:t>。其中因公出国（境）费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万元，公务接待费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w:t>
      </w:r>
      <w:r>
        <w:rPr>
          <w:rFonts w:ascii="Times New Roman" w:hAnsi="Times New Roman" w:eastAsia="仿宋_GB2312"/>
          <w:color w:val="000000" w:themeColor="text1"/>
          <w:sz w:val="32"/>
          <w:szCs w:val="32"/>
          <w:highlight w:val="none"/>
          <w14:textFill>
            <w14:solidFill>
              <w14:schemeClr w14:val="tx1"/>
            </w14:solidFill>
          </w14:textFill>
        </w:rPr>
        <w:t>万元，公务用车购置及运行费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3.5</w:t>
      </w:r>
      <w:r>
        <w:rPr>
          <w:rFonts w:ascii="Times New Roman" w:hAnsi="Times New Roman" w:eastAsia="仿宋_GB2312"/>
          <w:color w:val="000000" w:themeColor="text1"/>
          <w:sz w:val="32"/>
          <w:szCs w:val="32"/>
          <w:highlight w:val="none"/>
          <w14:textFill>
            <w14:solidFill>
              <w14:schemeClr w14:val="tx1"/>
            </w14:solidFill>
          </w14:textFill>
        </w:rPr>
        <w:t>万元。具体情况如下：</w:t>
      </w:r>
    </w:p>
    <w:p w14:paraId="489072DF">
      <w:pPr>
        <w:spacing w:line="600" w:lineRule="exact"/>
        <w:ind w:firstLine="643" w:firstLineChars="200"/>
        <w:rPr>
          <w:rFonts w:hint="eastAsia"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14:textFill>
            <w14:solidFill>
              <w14:schemeClr w14:val="tx1"/>
            </w14:solidFill>
          </w14:textFill>
        </w:rPr>
        <w:t>（一）因公出国（境）费。</w:t>
      </w:r>
      <w:r>
        <w:rPr>
          <w:rFonts w:ascii="Times New Roman" w:hAnsi="Times New Roman" w:eastAsia="仿宋_GB2312"/>
          <w:color w:val="000000" w:themeColor="text1"/>
          <w:sz w:val="32"/>
          <w:szCs w:val="32"/>
          <w:highlight w:val="none"/>
          <w14:textFill>
            <w14:solidFill>
              <w14:schemeClr w14:val="tx1"/>
            </w14:solidFill>
          </w14:textFill>
        </w:rPr>
        <w:t>支出预算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olor w:val="000000" w:themeColor="text1"/>
          <w:sz w:val="32"/>
          <w:szCs w:val="32"/>
          <w:highlight w:val="none"/>
          <w14:textFill>
            <w14:solidFill>
              <w14:schemeClr w14:val="tx1"/>
            </w14:solidFill>
          </w14:textFill>
        </w:rPr>
        <w:t>较</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上</w:t>
      </w:r>
      <w:r>
        <w:rPr>
          <w:rFonts w:hint="eastAsia" w:ascii="Times New Roman" w:hAnsi="Times New Roman" w:eastAsia="仿宋_GB2312"/>
          <w:color w:val="000000" w:themeColor="text1"/>
          <w:sz w:val="32"/>
          <w:szCs w:val="32"/>
          <w:highlight w:val="none"/>
          <w14:textFill>
            <w14:solidFill>
              <w14:schemeClr w14:val="tx1"/>
            </w14:solidFill>
          </w14:textFill>
        </w:rPr>
        <w:t>年预算</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持平</w:t>
      </w:r>
      <w:r>
        <w:rPr>
          <w:rFonts w:hint="eastAsia" w:ascii="Times New Roman" w:hAnsi="Times New Roman" w:eastAsia="仿宋_GB2312"/>
          <w:color w:val="000000" w:themeColor="text1"/>
          <w:sz w:val="32"/>
          <w:szCs w:val="32"/>
          <w:highlight w:val="none"/>
          <w14:textFill>
            <w14:solidFill>
              <w14:schemeClr w14:val="tx1"/>
            </w14:solidFill>
          </w14:textFill>
        </w:rPr>
        <w:t>，主要原因是经费使用贯彻落实中央八项规定</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及其实施细则精神</w:t>
      </w:r>
      <w:r>
        <w:rPr>
          <w:rFonts w:hint="eastAsia" w:ascii="Times New Roman" w:hAnsi="Times New Roman" w:eastAsia="仿宋_GB2312"/>
          <w:color w:val="000000" w:themeColor="text1"/>
          <w:sz w:val="32"/>
          <w:szCs w:val="32"/>
          <w:highlight w:val="none"/>
          <w14:textFill>
            <w14:solidFill>
              <w14:schemeClr w14:val="tx1"/>
            </w14:solidFill>
          </w14:textFill>
        </w:rPr>
        <w:t>和市委</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市政府20条要求。</w:t>
      </w:r>
    </w:p>
    <w:p w14:paraId="620C6F89">
      <w:pPr>
        <w:spacing w:line="560" w:lineRule="exact"/>
        <w:ind w:firstLine="643" w:firstLineChars="200"/>
        <w:rPr>
          <w:rFonts w:hint="eastAsia"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sz w:val="32"/>
          <w:szCs w:val="32"/>
          <w:highlight w:val="none"/>
          <w14:textFill>
            <w14:solidFill>
              <w14:schemeClr w14:val="tx1"/>
            </w14:solidFill>
          </w14:textFill>
        </w:rPr>
        <w:t>（二）公务接待费。</w:t>
      </w:r>
      <w:r>
        <w:rPr>
          <w:rFonts w:ascii="Times New Roman" w:hAnsi="Times New Roman" w:eastAsia="仿宋_GB2312"/>
          <w:color w:val="000000" w:themeColor="text1"/>
          <w:sz w:val="32"/>
          <w:szCs w:val="32"/>
          <w:highlight w:val="none"/>
          <w14:textFill>
            <w14:solidFill>
              <w14:schemeClr w14:val="tx1"/>
            </w14:solidFill>
          </w14:textFill>
        </w:rPr>
        <w:t>支出预算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w:t>
      </w:r>
      <w:r>
        <w:rPr>
          <w:rFonts w:ascii="Times New Roman" w:hAnsi="Times New Roman" w:eastAsia="仿宋_GB2312"/>
          <w:color w:val="000000" w:themeColor="text1"/>
          <w:sz w:val="32"/>
          <w:szCs w:val="32"/>
          <w:highlight w:val="none"/>
          <w14:textFill>
            <w14:solidFill>
              <w14:schemeClr w14:val="tx1"/>
            </w14:solidFill>
          </w14:textFill>
        </w:rPr>
        <w:t>万元，与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相比持平，主要原因是</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严格控制公务接待支出</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经费使用贯彻落实中央八项规定</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及其实施细则精神</w:t>
      </w:r>
      <w:r>
        <w:rPr>
          <w:rFonts w:hint="eastAsia" w:ascii="Times New Roman" w:hAnsi="Times New Roman" w:eastAsia="仿宋_GB2312"/>
          <w:color w:val="000000" w:themeColor="text1"/>
          <w:sz w:val="32"/>
          <w:szCs w:val="32"/>
          <w:highlight w:val="none"/>
          <w14:textFill>
            <w14:solidFill>
              <w14:schemeClr w14:val="tx1"/>
            </w14:solidFill>
          </w14:textFill>
        </w:rPr>
        <w:t>和严格执行市直机关公务接待费管理</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办法</w:t>
      </w:r>
      <w:r>
        <w:rPr>
          <w:rFonts w:hint="eastAsia" w:ascii="Times New Roman" w:hAnsi="Times New Roman" w:eastAsia="仿宋_GB2312"/>
          <w:color w:val="000000" w:themeColor="text1"/>
          <w:sz w:val="32"/>
          <w:szCs w:val="32"/>
          <w:highlight w:val="none"/>
          <w14:textFill>
            <w14:solidFill>
              <w14:schemeClr w14:val="tx1"/>
            </w14:solidFill>
          </w14:textFill>
        </w:rPr>
        <w:t>规定。</w:t>
      </w:r>
    </w:p>
    <w:p w14:paraId="60D87B04">
      <w:pPr>
        <w:pStyle w:val="5"/>
        <w:widowControl w:val="0"/>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color w:val="FF0000"/>
          <w:sz w:val="32"/>
          <w:szCs w:val="32"/>
          <w:highlight w:val="none"/>
        </w:rPr>
      </w:pPr>
      <w:r>
        <w:rPr>
          <w:rFonts w:ascii="Times New Roman" w:hAnsi="Times New Roman" w:eastAsia="仿宋_GB2312"/>
          <w:b/>
          <w:color w:val="000000" w:themeColor="text1"/>
          <w:sz w:val="32"/>
          <w:szCs w:val="32"/>
          <w:highlight w:val="none"/>
          <w14:textFill>
            <w14:solidFill>
              <w14:schemeClr w14:val="tx1"/>
            </w14:solidFill>
          </w14:textFill>
        </w:rPr>
        <w:t>（三）公务用车购置及运行费。</w:t>
      </w:r>
      <w:r>
        <w:rPr>
          <w:rFonts w:ascii="Times New Roman" w:hAnsi="Times New Roman" w:eastAsia="仿宋_GB2312"/>
          <w:color w:val="000000" w:themeColor="text1"/>
          <w:sz w:val="32"/>
          <w:szCs w:val="32"/>
          <w:highlight w:val="none"/>
          <w14:textFill>
            <w14:solidFill>
              <w14:schemeClr w14:val="tx1"/>
            </w14:solidFill>
          </w14:textFill>
        </w:rPr>
        <w:t>支出预算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3.5</w:t>
      </w:r>
      <w:r>
        <w:rPr>
          <w:rFonts w:ascii="Times New Roman" w:hAnsi="Times New Roman" w:eastAsia="仿宋_GB2312"/>
          <w:color w:val="000000" w:themeColor="text1"/>
          <w:sz w:val="32"/>
          <w:szCs w:val="32"/>
          <w:highlight w:val="none"/>
          <w14:textFill>
            <w14:solidFill>
              <w14:schemeClr w14:val="tx1"/>
            </w14:solidFill>
          </w14:textFill>
        </w:rPr>
        <w:t>万元，与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相比持平</w:t>
      </w:r>
      <w:r>
        <w:rPr>
          <w:rFonts w:hint="eastAsia" w:ascii="Times New Roman" w:hAnsi="Times New Roman" w:eastAsia="仿宋_GB2312"/>
          <w:color w:val="000000" w:themeColor="text1"/>
          <w:sz w:val="32"/>
          <w:szCs w:val="32"/>
          <w:highlight w:val="none"/>
          <w14:textFill>
            <w14:solidFill>
              <w14:schemeClr w14:val="tx1"/>
            </w14:solidFill>
          </w14:textFill>
        </w:rPr>
        <w:t>，经费使用贯彻落实党中央八项规定</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及其实施细则精神</w:t>
      </w:r>
      <w:r>
        <w:rPr>
          <w:rFonts w:hint="eastAsia" w:ascii="Times New Roman" w:hAnsi="Times New Roman" w:eastAsia="仿宋_GB2312"/>
          <w:color w:val="000000" w:themeColor="text1"/>
          <w:sz w:val="32"/>
          <w:szCs w:val="32"/>
          <w:highlight w:val="none"/>
          <w14:textFill>
            <w14:solidFill>
              <w14:schemeClr w14:val="tx1"/>
            </w14:solidFill>
          </w14:textFill>
        </w:rPr>
        <w:t>和市委</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市政府20条要求。</w:t>
      </w:r>
      <w:r>
        <w:rPr>
          <w:rFonts w:ascii="Times New Roman" w:hAnsi="Times New Roman" w:eastAsia="仿宋_GB2312"/>
          <w:color w:val="000000" w:themeColor="text1"/>
          <w:sz w:val="32"/>
          <w:szCs w:val="32"/>
          <w:highlight w:val="none"/>
          <w14:textFill>
            <w14:solidFill>
              <w14:schemeClr w14:val="tx1"/>
            </w14:solidFill>
          </w14:textFill>
        </w:rPr>
        <w:t>其中：公务用车运行费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3.5</w:t>
      </w:r>
      <w:r>
        <w:rPr>
          <w:rFonts w:ascii="Times New Roman" w:hAnsi="Times New Roman" w:eastAsia="仿宋_GB2312"/>
          <w:color w:val="000000" w:themeColor="text1"/>
          <w:sz w:val="32"/>
          <w:szCs w:val="32"/>
          <w:highlight w:val="none"/>
          <w14:textFill>
            <w14:solidFill>
              <w14:schemeClr w14:val="tx1"/>
            </w14:solidFill>
          </w14:textFill>
        </w:rPr>
        <w:t>万元，与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相比持平，主要原因是</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严格公务用车管理</w:t>
      </w:r>
      <w:r>
        <w:rPr>
          <w:rFonts w:hint="eastAsia"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严控公务用车经费支出，</w:t>
      </w:r>
      <w:r>
        <w:rPr>
          <w:rFonts w:ascii="Times New Roman" w:hAnsi="Times New Roman" w:eastAsia="仿宋_GB2312"/>
          <w:color w:val="000000" w:themeColor="text1"/>
          <w:sz w:val="32"/>
          <w:szCs w:val="32"/>
          <w:u w:val="none"/>
          <w14:textFill>
            <w14:solidFill>
              <w14:schemeClr w14:val="tx1"/>
            </w14:solidFill>
          </w14:textFill>
        </w:rPr>
        <w:t>主要用于</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工作必要的公务交通支出</w:t>
      </w:r>
      <w:r>
        <w:rPr>
          <w:rFonts w:ascii="Times New Roman" w:hAnsi="Times New Roman" w:eastAsia="仿宋_GB2312"/>
          <w:color w:val="000000" w:themeColor="text1"/>
          <w:sz w:val="32"/>
          <w:szCs w:val="32"/>
          <w:highlight w:val="none"/>
          <w14:textFill>
            <w14:solidFill>
              <w14:schemeClr w14:val="tx1"/>
            </w14:solidFill>
          </w14:textFill>
        </w:rPr>
        <w:t>。公务用车购置费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万元，与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相比持平，</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主要原因是未安排公务用车购置。</w:t>
      </w:r>
    </w:p>
    <w:p w14:paraId="7471FE4D">
      <w:pPr>
        <w:numPr>
          <w:ilvl w:val="0"/>
          <w:numId w:val="5"/>
        </w:numPr>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其他</w:t>
      </w:r>
      <w:r>
        <w:rPr>
          <w:rFonts w:ascii="Times New Roman" w:hAnsi="Times New Roman" w:eastAsia="黑体"/>
          <w:color w:val="000000" w:themeColor="text1"/>
          <w:sz w:val="32"/>
          <w:szCs w:val="32"/>
          <w:highlight w:val="none"/>
          <w14:textFill>
            <w14:solidFill>
              <w14:schemeClr w14:val="tx1"/>
            </w14:solidFill>
          </w14:textFill>
        </w:rPr>
        <w:t>重要事项情况说明</w:t>
      </w:r>
    </w:p>
    <w:p w14:paraId="405B5AA8">
      <w:pPr>
        <w:spacing w:line="560" w:lineRule="exact"/>
        <w:ind w:firstLine="643" w:firstLineChars="200"/>
        <w:rPr>
          <w:rFonts w:ascii="Times New Roman" w:hAnsi="Times New Roman" w:eastAsia="仿宋_GB2312"/>
          <w:b/>
          <w:color w:val="000000" w:themeColor="text1"/>
          <w:kern w:val="0"/>
          <w:sz w:val="32"/>
          <w:szCs w:val="32"/>
          <w:highlight w:val="none"/>
          <w14:textFill>
            <w14:solidFill>
              <w14:schemeClr w14:val="tx1"/>
            </w14:solidFill>
          </w14:textFill>
        </w:rPr>
      </w:pPr>
      <w:r>
        <w:rPr>
          <w:rFonts w:ascii="Times New Roman" w:hAnsi="Times New Roman" w:eastAsia="仿宋_GB2312"/>
          <w:b/>
          <w:color w:val="000000" w:themeColor="text1"/>
          <w:kern w:val="0"/>
          <w:sz w:val="32"/>
          <w:szCs w:val="32"/>
          <w:highlight w:val="none"/>
          <w14:textFill>
            <w14:solidFill>
              <w14:schemeClr w14:val="tx1"/>
            </w14:solidFill>
          </w14:textFill>
        </w:rPr>
        <w:t>（</w:t>
      </w:r>
      <w:r>
        <w:rPr>
          <w:rFonts w:hint="eastAsia" w:ascii="Times New Roman" w:hAnsi="Times New Roman" w:eastAsia="仿宋_GB2312"/>
          <w:b/>
          <w:color w:val="000000" w:themeColor="text1"/>
          <w:kern w:val="0"/>
          <w:sz w:val="32"/>
          <w:szCs w:val="32"/>
          <w:highlight w:val="none"/>
          <w14:textFill>
            <w14:solidFill>
              <w14:schemeClr w14:val="tx1"/>
            </w14:solidFill>
          </w14:textFill>
        </w:rPr>
        <w:t>一</w:t>
      </w:r>
      <w:r>
        <w:rPr>
          <w:rFonts w:ascii="Times New Roman" w:hAnsi="Times New Roman" w:eastAsia="仿宋_GB2312"/>
          <w:b/>
          <w:color w:val="000000" w:themeColor="text1"/>
          <w:kern w:val="0"/>
          <w:sz w:val="32"/>
          <w:szCs w:val="32"/>
          <w:highlight w:val="none"/>
          <w14:textFill>
            <w14:solidFill>
              <w14:schemeClr w14:val="tx1"/>
            </w14:solidFill>
          </w14:textFill>
        </w:rPr>
        <w:t>）</w:t>
      </w:r>
      <w:r>
        <w:rPr>
          <w:rFonts w:hint="eastAsia" w:ascii="Times New Roman" w:hAnsi="Times New Roman" w:eastAsia="仿宋_GB2312"/>
          <w:b/>
          <w:color w:val="000000" w:themeColor="text1"/>
          <w:kern w:val="0"/>
          <w:sz w:val="32"/>
          <w:szCs w:val="32"/>
          <w:highlight w:val="none"/>
          <w14:textFill>
            <w14:solidFill>
              <w14:schemeClr w14:val="tx1"/>
            </w14:solidFill>
          </w14:textFill>
        </w:rPr>
        <w:t>项目绩效目标编制情况</w:t>
      </w:r>
    </w:p>
    <w:p w14:paraId="0284CAB9">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ascii="Times New Roman" w:hAnsi="Times New Roman" w:eastAsia="仿宋_GB2312"/>
          <w:color w:val="000000" w:themeColor="text1"/>
          <w:sz w:val="32"/>
          <w:szCs w:val="32"/>
          <w:highlight w:val="none"/>
          <w14:textFill>
            <w14:solidFill>
              <w14:schemeClr w14:val="tx1"/>
            </w14:solidFill>
          </w14:textFill>
        </w:rPr>
        <w:t>没有需编制绩效目标的</w:t>
      </w:r>
      <w:r>
        <w:rPr>
          <w:rFonts w:hint="eastAsia" w:ascii="Times New Roman" w:hAnsi="Times New Roman" w:eastAsia="仿宋_GB2312"/>
          <w:color w:val="000000" w:themeColor="text1"/>
          <w:sz w:val="32"/>
          <w:szCs w:val="32"/>
          <w:highlight w:val="none"/>
          <w14:textFill>
            <w14:solidFill>
              <w14:schemeClr w14:val="tx1"/>
            </w14:solidFill>
          </w14:textFill>
        </w:rPr>
        <w:t>项目</w:t>
      </w:r>
      <w:r>
        <w:rPr>
          <w:rFonts w:ascii="Times New Roman" w:hAnsi="Times New Roman" w:eastAsia="仿宋_GB2312"/>
          <w:color w:val="000000" w:themeColor="text1"/>
          <w:sz w:val="32"/>
          <w:szCs w:val="32"/>
          <w:highlight w:val="none"/>
          <w14:textFill>
            <w14:solidFill>
              <w14:schemeClr w14:val="tx1"/>
            </w14:solidFill>
          </w14:textFill>
        </w:rPr>
        <w:t>。</w:t>
      </w:r>
    </w:p>
    <w:p w14:paraId="266F9BE8">
      <w:pPr>
        <w:spacing w:line="560" w:lineRule="exact"/>
        <w:ind w:firstLine="643" w:firstLineChars="200"/>
        <w:rPr>
          <w:rFonts w:ascii="Times New Roman" w:hAnsi="Times New Roman" w:eastAsia="仿宋_GB2312"/>
          <w:b/>
          <w:color w:val="000000" w:themeColor="text1"/>
          <w:sz w:val="32"/>
          <w:szCs w:val="32"/>
          <w:highlight w:val="none"/>
          <w14:textFill>
            <w14:solidFill>
              <w14:schemeClr w14:val="tx1"/>
            </w14:solidFill>
          </w14:textFill>
        </w:rPr>
      </w:pPr>
      <w:r>
        <w:rPr>
          <w:rFonts w:ascii="Times New Roman" w:hAnsi="Times New Roman" w:eastAsia="仿宋_GB2312"/>
          <w:b/>
          <w:color w:val="000000" w:themeColor="text1"/>
          <w:kern w:val="0"/>
          <w:sz w:val="32"/>
          <w:szCs w:val="32"/>
          <w:highlight w:val="none"/>
          <w14:textFill>
            <w14:solidFill>
              <w14:schemeClr w14:val="tx1"/>
            </w14:solidFill>
          </w14:textFill>
        </w:rPr>
        <w:t>（</w:t>
      </w:r>
      <w:r>
        <w:rPr>
          <w:rFonts w:hint="eastAsia" w:ascii="Times New Roman" w:hAnsi="Times New Roman" w:eastAsia="仿宋_GB2312"/>
          <w:b/>
          <w:color w:val="000000" w:themeColor="text1"/>
          <w:kern w:val="0"/>
          <w:sz w:val="32"/>
          <w:szCs w:val="32"/>
          <w:highlight w:val="none"/>
          <w14:textFill>
            <w14:solidFill>
              <w14:schemeClr w14:val="tx1"/>
            </w14:solidFill>
          </w14:textFill>
        </w:rPr>
        <w:t>二</w:t>
      </w:r>
      <w:r>
        <w:rPr>
          <w:rFonts w:ascii="Times New Roman" w:hAnsi="Times New Roman" w:eastAsia="仿宋_GB2312"/>
          <w:b/>
          <w:color w:val="000000" w:themeColor="text1"/>
          <w:kern w:val="0"/>
          <w:sz w:val="32"/>
          <w:szCs w:val="32"/>
          <w:highlight w:val="none"/>
          <w14:textFill>
            <w14:solidFill>
              <w14:schemeClr w14:val="tx1"/>
            </w14:solidFill>
          </w14:textFill>
        </w:rPr>
        <w:t>）机关运行经费。</w:t>
      </w:r>
    </w:p>
    <w:p w14:paraId="7E720D8F">
      <w:pPr>
        <w:adjustRightInd w:val="0"/>
        <w:snapToGrid w:val="0"/>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六安市重点工程建设管理处</w:t>
      </w:r>
      <w:r>
        <w:rPr>
          <w:rFonts w:ascii="Times New Roman" w:hAnsi="Times New Roman" w:eastAsia="仿宋_GB2312"/>
          <w:color w:val="000000" w:themeColor="text1"/>
          <w:sz w:val="32"/>
          <w:szCs w:val="32"/>
          <w:highlight w:val="none"/>
          <w14:textFill>
            <w14:solidFill>
              <w14:schemeClr w14:val="tx1"/>
            </w14:solidFill>
          </w14:textFill>
        </w:rPr>
        <w:t>系非参公事业单位，无机关运行经费。</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ascii="Times New Roman" w:hAnsi="Times New Roman" w:eastAsia="仿宋_GB2312"/>
          <w:color w:val="000000" w:themeColor="text1"/>
          <w:sz w:val="32"/>
          <w:szCs w:val="32"/>
          <w:highlight w:val="none"/>
          <w14:textFill>
            <w14:solidFill>
              <w14:schemeClr w14:val="tx1"/>
            </w14:solidFill>
          </w14:textFill>
        </w:rPr>
        <w:t>本</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部门</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1</w:t>
      </w:r>
      <w:r>
        <w:rPr>
          <w:rFonts w:ascii="Times New Roman" w:hAnsi="Times New Roman" w:eastAsia="仿宋_GB2312"/>
          <w:color w:val="000000" w:themeColor="text1"/>
          <w:kern w:val="0"/>
          <w:sz w:val="32"/>
          <w:szCs w:val="32"/>
          <w:highlight w:val="none"/>
          <w14:textFill>
            <w14:solidFill>
              <w14:schemeClr w14:val="tx1"/>
            </w14:solidFill>
          </w14:textFill>
        </w:rPr>
        <w:t>家单位</w:t>
      </w:r>
      <w:r>
        <w:rPr>
          <w:rFonts w:ascii="Times New Roman" w:hAnsi="Times New Roman" w:eastAsia="仿宋_GB2312"/>
          <w:color w:val="000000" w:themeColor="text1"/>
          <w:sz w:val="32"/>
          <w:szCs w:val="32"/>
          <w:highlight w:val="none"/>
          <w14:textFill>
            <w14:solidFill>
              <w14:schemeClr w14:val="tx1"/>
            </w14:solidFill>
          </w14:textFill>
        </w:rPr>
        <w:t>运行经费财政拨款预算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56.38</w:t>
      </w:r>
      <w:r>
        <w:rPr>
          <w:rFonts w:ascii="Times New Roman" w:hAnsi="Times New Roman" w:eastAsia="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较2022年</w:t>
      </w:r>
      <w:r>
        <w:rPr>
          <w:rFonts w:ascii="Times New Roman" w:hAnsi="Times New Roman" w:eastAsia="仿宋_GB2312"/>
          <w:color w:val="000000" w:themeColor="text1"/>
          <w:kern w:val="0"/>
          <w:sz w:val="32"/>
          <w:szCs w:val="32"/>
          <w:highlight w:val="none"/>
          <w14:textFill>
            <w14:solidFill>
              <w14:schemeClr w14:val="tx1"/>
            </w14:solidFill>
          </w14:textFill>
        </w:rPr>
        <w:t>增加</w:t>
      </w:r>
      <w:r>
        <w:rPr>
          <w:rFonts w:hint="eastAsia" w:ascii="Times New Roman" w:hAnsi="Times New Roman" w:eastAsia="仿宋_GB2312"/>
          <w:color w:val="000000" w:themeColor="text1"/>
          <w:kern w:val="0"/>
          <w:sz w:val="32"/>
          <w:szCs w:val="32"/>
          <w:highlight w:val="none"/>
          <w:lang w:val="en-US" w:eastAsia="zh-CN"/>
          <w14:textFill>
            <w14:solidFill>
              <w14:schemeClr w14:val="tx1"/>
            </w14:solidFill>
          </w14:textFill>
        </w:rPr>
        <w:t>4.53</w:t>
      </w:r>
      <w:r>
        <w:rPr>
          <w:rFonts w:ascii="Times New Roman" w:hAnsi="Times New Roman" w:eastAsia="仿宋_GB2312"/>
          <w:color w:val="000000" w:themeColor="text1"/>
          <w:sz w:val="32"/>
          <w:szCs w:val="32"/>
          <w:highlight w:val="none"/>
          <w14:textFill>
            <w14:solidFill>
              <w14:schemeClr w14:val="tx1"/>
            </w14:solidFill>
          </w14:textFill>
        </w:rPr>
        <w:t>万元，增长</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8.74</w:t>
      </w:r>
      <w:r>
        <w:rPr>
          <w:rFonts w:ascii="Times New Roman" w:hAnsi="Times New Roman" w:eastAsia="仿宋_GB2312"/>
          <w:color w:val="000000" w:themeColor="text1"/>
          <w:sz w:val="32"/>
          <w:szCs w:val="32"/>
          <w:highlight w:val="none"/>
          <w14:textFill>
            <w14:solidFill>
              <w14:schemeClr w14:val="tx1"/>
            </w14:solidFill>
          </w14:textFill>
        </w:rPr>
        <w:t>%，增长主要原因是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人员调整</w:t>
      </w:r>
      <w:r>
        <w:rPr>
          <w:rFonts w:ascii="Times New Roman" w:hAnsi="Times New Roman" w:eastAsia="仿宋_GB2312"/>
          <w:color w:val="000000" w:themeColor="text1"/>
          <w:sz w:val="32"/>
          <w:szCs w:val="32"/>
          <w:highlight w:val="none"/>
          <w14:textFill>
            <w14:solidFill>
              <w14:schemeClr w14:val="tx1"/>
            </w14:solidFill>
          </w14:textFill>
        </w:rPr>
        <w:t>。</w:t>
      </w:r>
    </w:p>
    <w:p w14:paraId="3C520D95">
      <w:pPr>
        <w:spacing w:line="560" w:lineRule="exact"/>
        <w:ind w:firstLine="643" w:firstLineChars="200"/>
        <w:rPr>
          <w:rFonts w:ascii="Times New Roman" w:hAnsi="Times New Roman" w:eastAsia="仿宋_GB2312"/>
          <w:b/>
          <w:color w:val="000000" w:themeColor="text1"/>
          <w:kern w:val="0"/>
          <w:sz w:val="32"/>
          <w:szCs w:val="32"/>
          <w:highlight w:val="none"/>
          <w14:textFill>
            <w14:solidFill>
              <w14:schemeClr w14:val="tx1"/>
            </w14:solidFill>
          </w14:textFill>
        </w:rPr>
      </w:pPr>
      <w:r>
        <w:rPr>
          <w:rFonts w:ascii="Times New Roman" w:hAnsi="Times New Roman" w:eastAsia="仿宋_GB2312"/>
          <w:b/>
          <w:color w:val="000000" w:themeColor="text1"/>
          <w:kern w:val="0"/>
          <w:sz w:val="32"/>
          <w:szCs w:val="32"/>
          <w:highlight w:val="none"/>
          <w14:textFill>
            <w14:solidFill>
              <w14:schemeClr w14:val="tx1"/>
            </w14:solidFill>
          </w14:textFill>
        </w:rPr>
        <w:t>（</w:t>
      </w:r>
      <w:r>
        <w:rPr>
          <w:rFonts w:hint="eastAsia" w:ascii="Times New Roman" w:hAnsi="Times New Roman" w:eastAsia="仿宋_GB2312"/>
          <w:b/>
          <w:color w:val="000000" w:themeColor="text1"/>
          <w:kern w:val="0"/>
          <w:sz w:val="32"/>
          <w:szCs w:val="32"/>
          <w:highlight w:val="none"/>
          <w14:textFill>
            <w14:solidFill>
              <w14:schemeClr w14:val="tx1"/>
            </w14:solidFill>
          </w14:textFill>
        </w:rPr>
        <w:t>三</w:t>
      </w:r>
      <w:r>
        <w:rPr>
          <w:rFonts w:ascii="Times New Roman" w:hAnsi="Times New Roman" w:eastAsia="仿宋_GB2312"/>
          <w:b/>
          <w:color w:val="000000" w:themeColor="text1"/>
          <w:kern w:val="0"/>
          <w:sz w:val="32"/>
          <w:szCs w:val="32"/>
          <w:highlight w:val="none"/>
          <w14:textFill>
            <w14:solidFill>
              <w14:schemeClr w14:val="tx1"/>
            </w14:solidFill>
          </w14:textFill>
        </w:rPr>
        <w:t>）政府采购情况。</w:t>
      </w:r>
    </w:p>
    <w:p w14:paraId="10EC2C66">
      <w:pPr>
        <w:spacing w:line="560" w:lineRule="exact"/>
        <w:ind w:firstLine="640" w:firstLineChars="200"/>
        <w:rPr>
          <w:rFonts w:hint="eastAsia" w:ascii="Times New Roman" w:hAnsi="Times New Roman" w:eastAsia="仿宋_GB2312"/>
          <w:color w:val="000000" w:themeColor="text1"/>
          <w:kern w:val="0"/>
          <w:sz w:val="32"/>
          <w:szCs w:val="32"/>
          <w:u w:val="none"/>
          <w:lang w:eastAsia="zh-CN"/>
          <w14:textFill>
            <w14:solidFill>
              <w14:schemeClr w14:val="tx1"/>
            </w14:solidFill>
          </w14:textFill>
        </w:rPr>
      </w:pPr>
      <w:r>
        <w:rPr>
          <w:rFonts w:hint="eastAsia" w:ascii="Times New Roman" w:hAnsi="Times New Roman" w:eastAsia="仿宋_GB2312"/>
          <w:color w:val="000000" w:themeColor="text1"/>
          <w:kern w:val="0"/>
          <w:sz w:val="32"/>
          <w:szCs w:val="32"/>
          <w:u w:val="none"/>
          <w:lang w:eastAsia="zh-CN"/>
          <w14:textFill>
            <w14:solidFill>
              <w14:schemeClr w14:val="tx1"/>
            </w14:solidFill>
          </w14:textFill>
        </w:rPr>
        <w:t>202</w:t>
      </w:r>
      <w:r>
        <w:rPr>
          <w:rFonts w:hint="eastAsia" w:ascii="Times New Roman" w:hAnsi="Times New Roman" w:eastAsia="仿宋_GB2312"/>
          <w:color w:val="000000" w:themeColor="text1"/>
          <w:kern w:val="0"/>
          <w:sz w:val="32"/>
          <w:szCs w:val="32"/>
          <w:u w:val="none"/>
          <w:lang w:val="en-US" w:eastAsia="zh-CN"/>
          <w14:textFill>
            <w14:solidFill>
              <w14:schemeClr w14:val="tx1"/>
            </w14:solidFill>
          </w14:textFill>
        </w:rPr>
        <w:t>3</w:t>
      </w:r>
      <w:r>
        <w:rPr>
          <w:rFonts w:hint="eastAsia" w:ascii="Times New Roman" w:hAnsi="Times New Roman" w:eastAsia="仿宋_GB2312"/>
          <w:color w:val="000000" w:themeColor="text1"/>
          <w:kern w:val="0"/>
          <w:sz w:val="32"/>
          <w:szCs w:val="32"/>
          <w:u w:val="none"/>
          <w:lang w:eastAsia="zh-CN"/>
          <w14:textFill>
            <w14:solidFill>
              <w14:schemeClr w14:val="tx1"/>
            </w14:solidFill>
          </w14:textFill>
        </w:rPr>
        <w:t>年</w:t>
      </w:r>
      <w:r>
        <w:rPr>
          <w:rFonts w:hint="eastAsia" w:ascii="Times New Roman" w:hAnsi="Times New Roman" w:eastAsia="仿宋_GB2312"/>
          <w:color w:val="000000" w:themeColor="text1"/>
          <w:sz w:val="32"/>
          <w:szCs w:val="32"/>
          <w:u w:val="none"/>
          <w:lang w:eastAsia="zh-CN"/>
          <w14:textFill>
            <w14:solidFill>
              <w14:schemeClr w14:val="tx1"/>
            </w14:solidFill>
          </w14:textFill>
        </w:rPr>
        <w:t>六安市重点工程建设管理处</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未安排</w:t>
      </w:r>
      <w:r>
        <w:rPr>
          <w:rFonts w:ascii="Times New Roman" w:hAnsi="Times New Roman" w:eastAsia="仿宋_GB2312"/>
          <w:color w:val="000000" w:themeColor="text1"/>
          <w:kern w:val="0"/>
          <w:sz w:val="32"/>
          <w:szCs w:val="32"/>
          <w:u w:val="none"/>
          <w14:textFill>
            <w14:solidFill>
              <w14:schemeClr w14:val="tx1"/>
            </w14:solidFill>
          </w14:textFill>
        </w:rPr>
        <w:t>政府采购预算</w:t>
      </w:r>
      <w:r>
        <w:rPr>
          <w:rFonts w:hint="eastAsia" w:ascii="Times New Roman" w:hAnsi="Times New Roman" w:eastAsia="仿宋_GB2312"/>
          <w:color w:val="000000" w:themeColor="text1"/>
          <w:kern w:val="0"/>
          <w:sz w:val="32"/>
          <w:szCs w:val="32"/>
          <w:u w:val="none"/>
          <w:lang w:eastAsia="zh-CN"/>
          <w14:textFill>
            <w14:solidFill>
              <w14:schemeClr w14:val="tx1"/>
            </w14:solidFill>
          </w14:textFill>
        </w:rPr>
        <w:t>。</w:t>
      </w:r>
    </w:p>
    <w:p w14:paraId="350464E4">
      <w:pPr>
        <w:spacing w:line="560" w:lineRule="exact"/>
        <w:ind w:firstLine="643" w:firstLineChars="200"/>
        <w:rPr>
          <w:rFonts w:ascii="Times New Roman" w:hAnsi="Times New Roman" w:eastAsia="仿宋_GB2312"/>
          <w:b/>
          <w:color w:val="000000" w:themeColor="text1"/>
          <w:kern w:val="0"/>
          <w:sz w:val="32"/>
          <w:szCs w:val="32"/>
          <w:highlight w:val="none"/>
          <w14:textFill>
            <w14:solidFill>
              <w14:schemeClr w14:val="tx1"/>
            </w14:solidFill>
          </w14:textFill>
        </w:rPr>
      </w:pPr>
      <w:r>
        <w:rPr>
          <w:rFonts w:ascii="Times New Roman" w:hAnsi="Times New Roman" w:eastAsia="仿宋_GB2312"/>
          <w:b/>
          <w:color w:val="000000" w:themeColor="text1"/>
          <w:kern w:val="0"/>
          <w:sz w:val="32"/>
          <w:szCs w:val="32"/>
          <w:highlight w:val="none"/>
          <w14:textFill>
            <w14:solidFill>
              <w14:schemeClr w14:val="tx1"/>
            </w14:solidFill>
          </w14:textFill>
        </w:rPr>
        <w:t>（</w:t>
      </w:r>
      <w:r>
        <w:rPr>
          <w:rFonts w:hint="eastAsia" w:ascii="Times New Roman" w:hAnsi="Times New Roman" w:eastAsia="仿宋_GB2312"/>
          <w:b/>
          <w:color w:val="000000" w:themeColor="text1"/>
          <w:kern w:val="0"/>
          <w:sz w:val="32"/>
          <w:szCs w:val="32"/>
          <w:highlight w:val="none"/>
          <w14:textFill>
            <w14:solidFill>
              <w14:schemeClr w14:val="tx1"/>
            </w14:solidFill>
          </w14:textFill>
        </w:rPr>
        <w:t>四</w:t>
      </w:r>
      <w:r>
        <w:rPr>
          <w:rFonts w:ascii="Times New Roman" w:hAnsi="Times New Roman" w:eastAsia="仿宋_GB2312"/>
          <w:b/>
          <w:color w:val="000000" w:themeColor="text1"/>
          <w:kern w:val="0"/>
          <w:sz w:val="32"/>
          <w:szCs w:val="32"/>
          <w:highlight w:val="none"/>
          <w14:textFill>
            <w14:solidFill>
              <w14:schemeClr w14:val="tx1"/>
            </w14:solidFill>
          </w14:textFill>
        </w:rPr>
        <w:t>）国有资产占有使用情况。</w:t>
      </w:r>
    </w:p>
    <w:p w14:paraId="2E3F5B9F">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截至</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2022年</w:t>
      </w:r>
      <w:r>
        <w:rPr>
          <w:rFonts w:ascii="Times New Roman" w:hAnsi="Times New Roman" w:eastAsia="仿宋_GB2312"/>
          <w:color w:val="000000" w:themeColor="text1"/>
          <w:sz w:val="32"/>
          <w:szCs w:val="32"/>
          <w:highlight w:val="none"/>
          <w14:textFill>
            <w14:solidFill>
              <w14:schemeClr w14:val="tx1"/>
            </w14:solidFill>
          </w14:textFill>
        </w:rPr>
        <w:t>12月，</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none"/>
          <w:lang w:val="en"/>
          <w14:textFill>
            <w14:solidFill>
              <w14:schemeClr w14:val="tx1"/>
            </w14:solidFill>
          </w14:textFill>
        </w:rPr>
        <w:t>重点工程建设管理处</w:t>
      </w:r>
      <w:r>
        <w:rPr>
          <w:rFonts w:ascii="Times New Roman" w:hAnsi="Times New Roman" w:eastAsia="仿宋_GB2312"/>
          <w:color w:val="000000" w:themeColor="text1"/>
          <w:sz w:val="32"/>
          <w:szCs w:val="32"/>
          <w:highlight w:val="none"/>
          <w14:textFill>
            <w14:solidFill>
              <w14:schemeClr w14:val="tx1"/>
            </w14:solidFill>
          </w14:textFill>
        </w:rPr>
        <w:t>固定资产总金额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23.1</w:t>
      </w:r>
      <w:r>
        <w:rPr>
          <w:rFonts w:ascii="Times New Roman" w:hAnsi="Times New Roman" w:eastAsia="仿宋_GB2312"/>
          <w:color w:val="000000" w:themeColor="text1"/>
          <w:sz w:val="32"/>
          <w:szCs w:val="32"/>
          <w:highlight w:val="none"/>
          <w14:textFill>
            <w14:solidFill>
              <w14:schemeClr w14:val="tx1"/>
            </w14:solidFill>
          </w14:textFill>
        </w:rPr>
        <w:t>万元，较上年减少</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1.61</w:t>
      </w:r>
      <w:r>
        <w:rPr>
          <w:rFonts w:ascii="Times New Roman" w:hAnsi="Times New Roman" w:eastAsia="仿宋_GB2312"/>
          <w:color w:val="000000" w:themeColor="text1"/>
          <w:sz w:val="32"/>
          <w:szCs w:val="32"/>
          <w:highlight w:val="none"/>
          <w14:textFill>
            <w14:solidFill>
              <w14:schemeClr w14:val="tx1"/>
            </w14:solidFill>
          </w14:textFill>
        </w:rPr>
        <w:t>万元，其中，土地、房屋及构筑物</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万元、通用设备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12.04</w:t>
      </w:r>
      <w:r>
        <w:rPr>
          <w:rFonts w:ascii="Times New Roman" w:hAnsi="Times New Roman" w:eastAsia="仿宋_GB2312"/>
          <w:color w:val="000000" w:themeColor="text1"/>
          <w:sz w:val="32"/>
          <w:szCs w:val="32"/>
          <w:highlight w:val="none"/>
          <w14:textFill>
            <w14:solidFill>
              <w14:schemeClr w14:val="tx1"/>
            </w14:solidFill>
          </w14:textFill>
        </w:rPr>
        <w:t>万元、专用设备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6.38</w:t>
      </w:r>
      <w:r>
        <w:rPr>
          <w:rFonts w:ascii="Times New Roman" w:hAnsi="Times New Roman" w:eastAsia="仿宋_GB2312"/>
          <w:color w:val="000000" w:themeColor="text1"/>
          <w:sz w:val="32"/>
          <w:szCs w:val="32"/>
          <w:highlight w:val="none"/>
          <w14:textFill>
            <w14:solidFill>
              <w14:schemeClr w14:val="tx1"/>
            </w14:solidFill>
          </w14:textFill>
        </w:rPr>
        <w:t>万元、其他资产</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4.68</w:t>
      </w:r>
      <w:r>
        <w:rPr>
          <w:rFonts w:ascii="Times New Roman" w:hAnsi="Times New Roman" w:eastAsia="仿宋_GB2312"/>
          <w:color w:val="000000" w:themeColor="text1"/>
          <w:sz w:val="32"/>
          <w:szCs w:val="32"/>
          <w:highlight w:val="none"/>
          <w14:textFill>
            <w14:solidFill>
              <w14:schemeClr w14:val="tx1"/>
            </w14:solidFill>
          </w14:textFill>
        </w:rPr>
        <w:t>万元。</w:t>
      </w:r>
    </w:p>
    <w:p w14:paraId="3D8F8BAD">
      <w:pPr>
        <w:spacing w:line="560" w:lineRule="exact"/>
        <w:ind w:firstLine="640" w:firstLineChars="200"/>
        <w:rPr>
          <w:rFonts w:hint="eastAsia" w:ascii="Times New Roman" w:hAnsi="Times New Roman" w:eastAsia="仿宋_GB2312"/>
          <w:color w:val="FF0000"/>
          <w:sz w:val="32"/>
          <w:szCs w:val="32"/>
          <w:highlight w:val="none"/>
          <w:lang w:eastAsia="zh-CN"/>
        </w:rPr>
      </w:pPr>
      <w:r>
        <w:rPr>
          <w:rFonts w:hint="eastAsia" w:ascii="Times New Roman" w:hAnsi="Times New Roman" w:eastAsia="仿宋_GB2312"/>
          <w:color w:val="000000" w:themeColor="text1"/>
          <w:sz w:val="32"/>
          <w:szCs w:val="32"/>
          <w:highlight w:val="none"/>
          <w14:textFill>
            <w14:solidFill>
              <w14:schemeClr w14:val="tx1"/>
            </w14:solidFill>
          </w14:textFill>
        </w:rPr>
        <w:t>单位</w:t>
      </w:r>
      <w:r>
        <w:rPr>
          <w:rFonts w:ascii="Times New Roman" w:hAnsi="Times New Roman" w:eastAsia="仿宋_GB2312"/>
          <w:color w:val="000000" w:themeColor="text1"/>
          <w:sz w:val="32"/>
          <w:szCs w:val="32"/>
          <w:highlight w:val="none"/>
          <w14:textFill>
            <w14:solidFill>
              <w14:schemeClr w14:val="tx1"/>
            </w14:solidFill>
          </w14:textFill>
        </w:rPr>
        <w:t>车改后保留车辆</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辆</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2395F25B">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单位价值50万元以上的通用设备有</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台（套），单位价值100万元以上的专用设备有</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 xml:space="preserve">台（套）。 </w:t>
      </w:r>
    </w:p>
    <w:p w14:paraId="0E10FACF">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kern w:val="0"/>
          <w:sz w:val="32"/>
          <w:szCs w:val="32"/>
          <w:highlight w:val="none"/>
          <w:u w:val="none"/>
          <w:lang w:eastAsia="zh-CN"/>
          <w14:textFill>
            <w14:solidFill>
              <w14:schemeClr w14:val="tx1"/>
            </w14:solidFill>
          </w14:textFill>
        </w:rPr>
        <w:t>部门</w:t>
      </w:r>
      <w:r>
        <w:rPr>
          <w:rFonts w:ascii="Times New Roman" w:hAnsi="Times New Roman" w:eastAsia="仿宋_GB2312"/>
          <w:color w:val="000000" w:themeColor="text1"/>
          <w:kern w:val="0"/>
          <w:sz w:val="32"/>
          <w:szCs w:val="32"/>
          <w:highlight w:val="none"/>
          <w:u w:val="none"/>
          <w14:textFill>
            <w14:solidFill>
              <w14:schemeClr w14:val="tx1"/>
            </w14:solidFill>
          </w14:textFill>
        </w:rPr>
        <w:t>预算安排购置车辆</w:t>
      </w:r>
      <w:r>
        <w:rPr>
          <w:rFonts w:hint="eastAsia" w:ascii="Times New Roman" w:hAnsi="Times New Roman" w:eastAsia="仿宋_GB2312"/>
          <w:color w:val="000000" w:themeColor="text1"/>
          <w:kern w:val="0"/>
          <w:sz w:val="32"/>
          <w:szCs w:val="32"/>
          <w:highlight w:val="none"/>
          <w:u w:val="none"/>
          <w:lang w:val="en-US" w:eastAsia="zh-CN"/>
          <w14:textFill>
            <w14:solidFill>
              <w14:schemeClr w14:val="tx1"/>
            </w14:solidFill>
          </w14:textFill>
        </w:rPr>
        <w:t>0</w:t>
      </w:r>
      <w:r>
        <w:rPr>
          <w:rFonts w:ascii="Times New Roman" w:hAnsi="Times New Roman" w:eastAsia="仿宋_GB2312"/>
          <w:color w:val="000000" w:themeColor="text1"/>
          <w:kern w:val="0"/>
          <w:sz w:val="32"/>
          <w:szCs w:val="32"/>
          <w:highlight w:val="none"/>
          <w:u w:val="none"/>
          <w14:textFill>
            <w14:solidFill>
              <w14:schemeClr w14:val="tx1"/>
            </w14:solidFill>
          </w14:textFill>
        </w:rPr>
        <w:t>辆，购置费</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u w:val="none"/>
          <w14:textFill>
            <w14:solidFill>
              <w14:schemeClr w14:val="tx1"/>
            </w14:solidFill>
          </w14:textFill>
        </w:rPr>
        <w:t>万元。</w:t>
      </w:r>
    </w:p>
    <w:p w14:paraId="610E2C61">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u w:val="none"/>
          <w:lang w:eastAsia="zh-CN"/>
          <w14:textFill>
            <w14:solidFill>
              <w14:schemeClr w14:val="tx1"/>
            </w14:solidFill>
          </w14:textFill>
        </w:rPr>
        <w:t>2023年部门</w:t>
      </w:r>
      <w:r>
        <w:rPr>
          <w:rFonts w:ascii="Times New Roman" w:hAnsi="Times New Roman" w:eastAsia="仿宋_GB2312"/>
          <w:color w:val="000000" w:themeColor="text1"/>
          <w:kern w:val="0"/>
          <w:sz w:val="32"/>
          <w:szCs w:val="32"/>
          <w:highlight w:val="none"/>
          <w:u w:val="none"/>
          <w14:textFill>
            <w14:solidFill>
              <w14:schemeClr w14:val="tx1"/>
            </w14:solidFill>
          </w14:textFill>
        </w:rPr>
        <w:t>预算安排购置单位价值50万元以上的通用设备</w:t>
      </w:r>
      <w:r>
        <w:rPr>
          <w:rFonts w:hint="eastAsia" w:ascii="Times New Roman" w:hAnsi="Times New Roman" w:eastAsia="仿宋_GB2312"/>
          <w:color w:val="000000" w:themeColor="text1"/>
          <w:kern w:val="0"/>
          <w:sz w:val="32"/>
          <w:szCs w:val="32"/>
          <w:highlight w:val="none"/>
          <w:u w:val="none"/>
          <w:lang w:val="en-US" w:eastAsia="zh-CN"/>
          <w14:textFill>
            <w14:solidFill>
              <w14:schemeClr w14:val="tx1"/>
            </w14:solidFill>
          </w14:textFill>
        </w:rPr>
        <w:t>0</w:t>
      </w:r>
      <w:r>
        <w:rPr>
          <w:rFonts w:ascii="Times New Roman" w:hAnsi="Times New Roman" w:eastAsia="仿宋_GB2312"/>
          <w:color w:val="000000" w:themeColor="text1"/>
          <w:kern w:val="0"/>
          <w:sz w:val="32"/>
          <w:szCs w:val="32"/>
          <w:highlight w:val="none"/>
          <w:u w:val="none"/>
          <w14:textFill>
            <w14:solidFill>
              <w14:schemeClr w14:val="tx1"/>
            </w14:solidFill>
          </w14:textFill>
        </w:rPr>
        <w:t>台（套）</w:t>
      </w:r>
      <w:r>
        <w:rPr>
          <w:rFonts w:ascii="Times New Roman" w:hAnsi="Times New Roman" w:eastAsia="仿宋_GB2312"/>
          <w:color w:val="000000" w:themeColor="text1"/>
          <w:kern w:val="0"/>
          <w:sz w:val="32"/>
          <w:szCs w:val="32"/>
          <w:highlight w:val="none"/>
          <w14:textFill>
            <w14:solidFill>
              <w14:schemeClr w14:val="tx1"/>
            </w14:solidFill>
          </w14:textFill>
        </w:rPr>
        <w:t>，购置费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万元；</w:t>
      </w:r>
      <w:r>
        <w:rPr>
          <w:rFonts w:ascii="Times New Roman" w:hAnsi="Times New Roman" w:eastAsia="仿宋_GB2312"/>
          <w:color w:val="000000" w:themeColor="text1"/>
          <w:kern w:val="0"/>
          <w:sz w:val="32"/>
          <w:szCs w:val="32"/>
          <w:highlight w:val="none"/>
          <w14:textFill>
            <w14:solidFill>
              <w14:schemeClr w14:val="tx1"/>
            </w14:solidFill>
          </w14:textFill>
        </w:rPr>
        <w:t>安排购置单位价值100万元以上专用设备</w:t>
      </w:r>
      <w:r>
        <w:rPr>
          <w:rFonts w:hint="eastAsia" w:ascii="Times New Roman" w:hAnsi="Times New Roman" w:eastAsia="仿宋_GB2312"/>
          <w:color w:val="000000" w:themeColor="text1"/>
          <w:kern w:val="0"/>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kern w:val="0"/>
          <w:sz w:val="32"/>
          <w:szCs w:val="32"/>
          <w:highlight w:val="none"/>
          <w14:textFill>
            <w14:solidFill>
              <w14:schemeClr w14:val="tx1"/>
            </w14:solidFill>
          </w14:textFill>
        </w:rPr>
        <w:t>台（套），购置费</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olor w:val="000000" w:themeColor="text1"/>
          <w:sz w:val="32"/>
          <w:szCs w:val="32"/>
          <w:highlight w:val="none"/>
          <w14:textFill>
            <w14:solidFill>
              <w14:schemeClr w14:val="tx1"/>
            </w14:solidFill>
          </w14:textFill>
        </w:rPr>
        <w:t>万元。</w:t>
      </w:r>
    </w:p>
    <w:p w14:paraId="782691D8">
      <w:pPr>
        <w:spacing w:line="560" w:lineRule="exact"/>
        <w:rPr>
          <w:rFonts w:ascii="Times New Roman" w:hAnsi="Times New Roman" w:eastAsia="楷体"/>
          <w:color w:val="FF0000"/>
          <w:kern w:val="0"/>
          <w:sz w:val="32"/>
          <w:szCs w:val="32"/>
          <w:highlight w:val="none"/>
        </w:rPr>
      </w:pPr>
    </w:p>
    <w:p w14:paraId="6E2A7EB4">
      <w:pPr>
        <w:spacing w:line="560" w:lineRule="exact"/>
        <w:jc w:val="center"/>
        <w:rPr>
          <w:rFonts w:ascii="Times New Roman" w:hAnsi="Times New Roman" w:eastAsia="黑体"/>
          <w:color w:val="000000" w:themeColor="text1"/>
          <w:sz w:val="36"/>
          <w:szCs w:val="36"/>
          <w:highlight w:val="none"/>
          <w14:textFill>
            <w14:solidFill>
              <w14:schemeClr w14:val="tx1"/>
            </w14:solidFill>
          </w14:textFill>
        </w:rPr>
      </w:pPr>
    </w:p>
    <w:p w14:paraId="3270B86C">
      <w:pPr>
        <w:spacing w:line="560" w:lineRule="exact"/>
        <w:ind w:firstLine="640" w:firstLineChars="200"/>
        <w:rPr>
          <w:rFonts w:ascii="Times New Roman" w:hAnsi="Times New Roman" w:eastAsia="楷体"/>
          <w:color w:val="000000" w:themeColor="text1"/>
          <w:kern w:val="0"/>
          <w:sz w:val="32"/>
          <w:szCs w:val="32"/>
          <w:highlight w:val="none"/>
          <w14:textFill>
            <w14:solidFill>
              <w14:schemeClr w14:val="tx1"/>
            </w14:solidFill>
          </w14:textFill>
        </w:rPr>
      </w:pPr>
    </w:p>
    <w:p w14:paraId="326FD4FF">
      <w:pPr>
        <w:spacing w:line="560" w:lineRule="exact"/>
        <w:jc w:val="center"/>
        <w:rPr>
          <w:rFonts w:ascii="Times New Roman" w:hAnsi="Times New Roman" w:eastAsia="黑体"/>
          <w:color w:val="000000" w:themeColor="text1"/>
          <w:sz w:val="36"/>
          <w:szCs w:val="36"/>
          <w:highlight w:val="none"/>
          <w14:textFill>
            <w14:solidFill>
              <w14:schemeClr w14:val="tx1"/>
            </w14:solidFill>
          </w14:textFill>
        </w:rPr>
      </w:pPr>
      <w:r>
        <w:rPr>
          <w:rFonts w:ascii="Times New Roman" w:hAnsi="Times New Roman" w:eastAsia="黑体"/>
          <w:color w:val="000000" w:themeColor="text1"/>
          <w:sz w:val="36"/>
          <w:szCs w:val="36"/>
          <w:highlight w:val="none"/>
          <w14:textFill>
            <w14:solidFill>
              <w14:schemeClr w14:val="tx1"/>
            </w14:solidFill>
          </w14:textFill>
        </w:rPr>
        <w:t>第</w:t>
      </w:r>
      <w:r>
        <w:rPr>
          <w:rFonts w:hint="eastAsia" w:ascii="Times New Roman" w:hAnsi="Times New Roman" w:eastAsia="黑体"/>
          <w:color w:val="000000" w:themeColor="text1"/>
          <w:sz w:val="36"/>
          <w:szCs w:val="36"/>
          <w:highlight w:val="none"/>
          <w:lang w:eastAsia="zh-CN"/>
          <w14:textFill>
            <w14:solidFill>
              <w14:schemeClr w14:val="tx1"/>
            </w14:solidFill>
          </w14:textFill>
        </w:rPr>
        <w:t>四</w:t>
      </w:r>
      <w:r>
        <w:rPr>
          <w:rFonts w:ascii="Times New Roman" w:hAnsi="Times New Roman" w:eastAsia="黑体"/>
          <w:color w:val="000000" w:themeColor="text1"/>
          <w:sz w:val="36"/>
          <w:szCs w:val="36"/>
          <w:highlight w:val="none"/>
          <w14:textFill>
            <w14:solidFill>
              <w14:schemeClr w14:val="tx1"/>
            </w14:solidFill>
          </w14:textFill>
        </w:rPr>
        <w:t>部分 名词解释</w:t>
      </w:r>
    </w:p>
    <w:p w14:paraId="20E0DACC">
      <w:pPr>
        <w:adjustRightInd w:val="0"/>
        <w:snapToGrid w:val="0"/>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一、财政拨款收入</w:t>
      </w:r>
      <w:r>
        <w:rPr>
          <w:rFonts w:ascii="Times New Roman" w:hAnsi="Times New Roman" w:eastAsia="仿宋_GB2312"/>
          <w:b/>
          <w:color w:val="000000" w:themeColor="text1"/>
          <w:sz w:val="32"/>
          <w:szCs w:val="32"/>
          <w:highlight w:val="none"/>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指市财政当年拨付的资金，主要包括一般公共预算拨款收入、政府性基金预算拨款收入、国有资本经营预算拨款收入。</w:t>
      </w:r>
    </w:p>
    <w:p w14:paraId="23F2BE86">
      <w:pPr>
        <w:pStyle w:val="5"/>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二、</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财政专户管理资金</w:t>
      </w:r>
      <w:r>
        <w:rPr>
          <w:rFonts w:ascii="Times New Roman" w:hAnsi="Times New Roman" w:eastAsia="黑体"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kern w:val="2"/>
          <w:sz w:val="32"/>
          <w:szCs w:val="32"/>
          <w:highlight w:val="none"/>
          <w14:textFill>
            <w14:solidFill>
              <w14:schemeClr w14:val="tx1"/>
            </w14:solidFill>
          </w14:textFill>
        </w:rPr>
        <w:t>指</w:t>
      </w:r>
      <w:r>
        <w:rPr>
          <w:rFonts w:hint="eastAsia" w:ascii="仿宋_GB2312" w:hAnsi="仿宋" w:eastAsia="仿宋_GB2312" w:cs="仿宋_GB2312"/>
          <w:sz w:val="32"/>
          <w:szCs w:val="32"/>
          <w:highlight w:val="none"/>
        </w:rPr>
        <w:t>缴入财政专户、实行专项管理的教育收费收入</w:t>
      </w:r>
      <w:r>
        <w:rPr>
          <w:rFonts w:ascii="Times New Roman" w:hAnsi="Times New Roman" w:eastAsia="仿宋_GB2312" w:cs="Times New Roman"/>
          <w:color w:val="000000" w:themeColor="text1"/>
          <w:kern w:val="2"/>
          <w:sz w:val="32"/>
          <w:szCs w:val="32"/>
          <w:highlight w:val="none"/>
          <w14:textFill>
            <w14:solidFill>
              <w14:schemeClr w14:val="tx1"/>
            </w14:solidFill>
          </w14:textFill>
        </w:rPr>
        <w:t>。</w:t>
      </w:r>
    </w:p>
    <w:p w14:paraId="7B501AEC">
      <w:pPr>
        <w:pStyle w:val="5"/>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三、其他收入：</w:t>
      </w:r>
      <w:r>
        <w:rPr>
          <w:rFonts w:ascii="Times New Roman" w:hAnsi="Times New Roman" w:eastAsia="仿宋_GB2312" w:cs="Times New Roman"/>
          <w:color w:val="000000" w:themeColor="text1"/>
          <w:kern w:val="2"/>
          <w:sz w:val="32"/>
          <w:szCs w:val="32"/>
          <w:highlight w:val="none"/>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highlight w:val="none"/>
          <w:lang w:eastAsia="zh-CN"/>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highlight w:val="none"/>
          <w14:textFill>
            <w14:solidFill>
              <w14:schemeClr w14:val="tx1"/>
            </w14:solidFill>
          </w14:textFill>
        </w:rPr>
        <w:t>等以外的收入。</w:t>
      </w:r>
    </w:p>
    <w:p w14:paraId="5E2B6F1F">
      <w:pPr>
        <w:pStyle w:val="5"/>
        <w:widowControl w:val="0"/>
        <w:adjustRightInd w:val="0"/>
        <w:snapToGrid w:val="0"/>
        <w:spacing w:before="0" w:beforeAutospacing="0" w:after="0" w:afterAutospacing="0" w:line="560" w:lineRule="exact"/>
        <w:ind w:firstLine="627" w:firstLineChars="196"/>
        <w:rPr>
          <w:rFonts w:hint="eastAsia" w:ascii="仿宋_GB2312" w:hAnsi="仿宋" w:eastAsia="仿宋_GB2312" w:cs="仿宋_GB2312"/>
          <w:sz w:val="32"/>
          <w:szCs w:val="32"/>
          <w:highlight w:val="none"/>
        </w:rPr>
      </w:pPr>
      <w:r>
        <w:rPr>
          <w:rFonts w:ascii="Times New Roman" w:hAnsi="Times New Roman" w:eastAsia="黑体" w:cs="Times New Roman"/>
          <w:color w:val="000000" w:themeColor="text1"/>
          <w:sz w:val="32"/>
          <w:szCs w:val="32"/>
          <w:highlight w:val="none"/>
          <w14:textFill>
            <w14:solidFill>
              <w14:schemeClr w14:val="tx1"/>
            </w14:solidFill>
          </w14:textFill>
        </w:rPr>
        <w:t>四、上年结转</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结余资金</w:t>
      </w:r>
      <w:r>
        <w:rPr>
          <w:rFonts w:ascii="Times New Roman" w:hAnsi="Times New Roman" w:eastAsia="黑体"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kern w:val="2"/>
          <w:sz w:val="32"/>
          <w:szCs w:val="32"/>
          <w:highlight w:val="none"/>
          <w14:textFill>
            <w14:solidFill>
              <w14:schemeClr w14:val="tx1"/>
            </w14:solidFill>
          </w14:textFill>
        </w:rPr>
        <w:t>指</w:t>
      </w:r>
      <w:r>
        <w:rPr>
          <w:rFonts w:hint="eastAsia" w:ascii="仿宋_GB2312" w:hAnsi="仿宋" w:eastAsia="仿宋_GB2312" w:cs="仿宋_GB2312"/>
          <w:sz w:val="32"/>
          <w:szCs w:val="32"/>
          <w:highlight w:val="none"/>
        </w:rPr>
        <w:t>包括财政拨款结转、财政拨款结余、财政专户管理资金结转结余和单位资金结转结余</w:t>
      </w:r>
      <w:r>
        <w:rPr>
          <w:rFonts w:hint="eastAsia" w:ascii="仿宋_GB2312" w:hAnsi="仿宋" w:eastAsia="仿宋_GB2312" w:cs="仿宋_GB2312"/>
          <w:sz w:val="32"/>
          <w:szCs w:val="32"/>
          <w:highlight w:val="none"/>
          <w:lang w:eastAsia="zh-CN"/>
        </w:rPr>
        <w:t>的资金</w:t>
      </w:r>
      <w:r>
        <w:rPr>
          <w:rFonts w:hint="eastAsia" w:ascii="仿宋_GB2312" w:hAnsi="仿宋" w:eastAsia="仿宋_GB2312" w:cs="仿宋_GB2312"/>
          <w:sz w:val="32"/>
          <w:szCs w:val="32"/>
          <w:highlight w:val="none"/>
        </w:rPr>
        <w:t>。</w:t>
      </w:r>
    </w:p>
    <w:p w14:paraId="5B5A108F">
      <w:pPr>
        <w:pStyle w:val="5"/>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五、结转下年：</w:t>
      </w:r>
      <w:r>
        <w:rPr>
          <w:rFonts w:ascii="Times New Roman" w:hAnsi="Times New Roman" w:eastAsia="仿宋_GB2312" w:cs="Times New Roman"/>
          <w:color w:val="000000" w:themeColor="text1"/>
          <w:kern w:val="2"/>
          <w:sz w:val="32"/>
          <w:szCs w:val="32"/>
          <w:highlight w:val="none"/>
          <w14:textFill>
            <w14:solidFill>
              <w14:schemeClr w14:val="tx1"/>
            </w14:solidFill>
          </w14:textFill>
        </w:rPr>
        <w:t>指以前年度预算安排、因客观条件发生变化无法按原计划实施，需以后年度按原用途继续使用的资金。</w:t>
      </w:r>
    </w:p>
    <w:p w14:paraId="05E02EFA">
      <w:pPr>
        <w:pStyle w:val="5"/>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六、基本支出</w:t>
      </w:r>
      <w:r>
        <w:rPr>
          <w:rFonts w:ascii="Times New Roman" w:hAnsi="Times New Roman" w:eastAsia="仿宋_GB2312" w:cs="Times New Roman"/>
          <w:b/>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指为保障机构正常运转、完成日常工作任务而发生的人员支出和公用支出。</w:t>
      </w:r>
    </w:p>
    <w:p w14:paraId="13B9720B">
      <w:pPr>
        <w:pStyle w:val="5"/>
        <w:widowControl w:val="0"/>
        <w:spacing w:before="0" w:beforeAutospacing="0" w:after="0" w:afterAutospacing="0" w:line="560" w:lineRule="exact"/>
        <w:ind w:firstLine="627" w:firstLineChars="196"/>
        <w:jc w:val="both"/>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七、项目支出</w:t>
      </w:r>
      <w:r>
        <w:rPr>
          <w:rFonts w:ascii="Times New Roman" w:hAnsi="Times New Roman" w:eastAsia="仿宋_GB2312" w:cs="Times New Roman"/>
          <w:b/>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指在基本支出之外为完成特定行政任务和事业发展目标所发生的支出。</w:t>
      </w:r>
      <w:r>
        <w:rPr>
          <w:rFonts w:ascii="Times New Roman" w:hAnsi="Times New Roman" w:eastAsia="仿宋_GB2312" w:cs="Times New Roman"/>
          <w:color w:val="000000" w:themeColor="text1"/>
          <w:sz w:val="32"/>
          <w:szCs w:val="32"/>
          <w:highlight w:val="none"/>
          <w14:textFill>
            <w14:solidFill>
              <w14:schemeClr w14:val="tx1"/>
            </w14:solidFill>
          </w14:textFill>
        </w:rPr>
        <w:br w:type="textWrapping"/>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ascii="Times New Roman" w:hAnsi="Times New Roman" w:eastAsia="黑体"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黑体" w:cs="Times New Roman"/>
          <w:color w:val="000000" w:themeColor="text1"/>
          <w:sz w:val="32"/>
          <w:szCs w:val="32"/>
          <w:highlight w:val="none"/>
          <w14:textFill>
            <w14:solidFill>
              <w14:schemeClr w14:val="tx1"/>
            </w14:solidFill>
          </w14:textFill>
        </w:rPr>
        <w:t xml:space="preserve">  </w:t>
      </w:r>
      <w:r>
        <w:rPr>
          <w:rFonts w:ascii="Times New Roman" w:hAnsi="Times New Roman" w:eastAsia="黑体" w:cs="Times New Roman"/>
          <w:color w:val="000000" w:themeColor="text1"/>
          <w:sz w:val="32"/>
          <w:szCs w:val="32"/>
          <w:highlight w:val="none"/>
          <w14:textFill>
            <w14:solidFill>
              <w14:schemeClr w14:val="tx1"/>
            </w14:solidFill>
          </w14:textFill>
        </w:rPr>
        <w:t>八、“三公”经费：</w:t>
      </w:r>
      <w:r>
        <w:rPr>
          <w:rFonts w:ascii="Times New Roman" w:hAnsi="Times New Roman" w:eastAsia="仿宋_GB2312" w:cs="Times New Roman"/>
          <w:color w:val="000000" w:themeColor="text1"/>
          <w:sz w:val="32"/>
          <w:szCs w:val="32"/>
          <w:highlight w:val="none"/>
          <w14:textFill>
            <w14:solidFill>
              <w14:schemeClr w14:val="tx1"/>
            </w14:solidFill>
          </w14:textFill>
        </w:rPr>
        <w:t>纳入财政预决算管理的“三公”经费，是指单位用</w:t>
      </w:r>
      <w:r>
        <w:rPr>
          <w:rFonts w:hint="eastAsia" w:ascii="仿宋_GB2312" w:hAnsi="黑体" w:eastAsia="仿宋_GB2312"/>
          <w:color w:val="000000" w:themeColor="text1"/>
          <w:sz w:val="32"/>
          <w:szCs w:val="32"/>
          <w:highlight w:val="none"/>
          <w14:textFill>
            <w14:solidFill>
              <w14:schemeClr w14:val="tx1"/>
            </w14:solidFill>
          </w14:textFill>
        </w:rPr>
        <w:t>一般公共预算</w:t>
      </w:r>
      <w:r>
        <w:rPr>
          <w:rFonts w:ascii="Times New Roman" w:hAnsi="Times New Roman" w:eastAsia="仿宋_GB2312" w:cs="Times New Roman"/>
          <w:color w:val="000000" w:themeColor="text1"/>
          <w:sz w:val="32"/>
          <w:szCs w:val="32"/>
          <w:highlight w:val="none"/>
          <w14:textFill>
            <w14:solidFill>
              <w14:schemeClr w14:val="tx1"/>
            </w14:solidFill>
          </w14:textFill>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14:paraId="47984EDC">
      <w:pPr>
        <w:pStyle w:val="5"/>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九、机关运行经费</w:t>
      </w:r>
      <w:r>
        <w:rPr>
          <w:rFonts w:ascii="Times New Roman" w:hAnsi="Times New Roman" w:eastAsia="仿宋_GB2312" w:cs="Times New Roman"/>
          <w:color w:val="000000" w:themeColor="text1"/>
          <w:sz w:val="32"/>
          <w:szCs w:val="32"/>
          <w:highlight w:val="none"/>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14:paraId="057E1127">
      <w:pPr>
        <w:pStyle w:val="5"/>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highlight w:val="none"/>
          <w14:textFill>
            <w14:solidFill>
              <w14:schemeClr w14:val="tx1"/>
            </w14:solidFill>
          </w14:textFill>
        </w:rPr>
      </w:pPr>
    </w:p>
    <w:p w14:paraId="1DBEB5A1">
      <w:pPr>
        <w:spacing w:line="560" w:lineRule="exact"/>
        <w:ind w:firstLine="640" w:firstLineChars="200"/>
        <w:rPr>
          <w:rFonts w:ascii="Times New Roman" w:hAnsi="Times New Roman" w:eastAsia="楷体"/>
          <w:color w:val="000000" w:themeColor="text1"/>
          <w:sz w:val="32"/>
          <w:szCs w:val="32"/>
          <w:highlight w:val="none"/>
          <w14:textFill>
            <w14:solidFill>
              <w14:schemeClr w14:val="tx1"/>
            </w14:solidFill>
          </w14:textFill>
        </w:rPr>
      </w:pPr>
      <w:r>
        <w:rPr>
          <w:rFonts w:ascii="Times New Roman" w:hAnsi="Times New Roman" w:eastAsia="黑体"/>
          <w:color w:val="000000" w:themeColor="text1"/>
          <w:sz w:val="32"/>
          <w:szCs w:val="32"/>
          <w:highlight w:val="none"/>
          <w14:textFill>
            <w14:solidFill>
              <w14:schemeClr w14:val="tx1"/>
            </w14:solidFill>
          </w14:textFill>
        </w:rPr>
        <w:t>附表：</w:t>
      </w:r>
      <w:r>
        <w:rPr>
          <w:rFonts w:hint="eastAsia" w:ascii="Times New Roman" w:hAnsi="Times New Roman" w:eastAsia="仿宋_GB2312"/>
          <w:color w:val="000000" w:themeColor="text1"/>
          <w:sz w:val="32"/>
          <w:szCs w:val="32"/>
          <w:highlight w:val="none"/>
          <w:u w:val="single"/>
          <w:lang w:eastAsia="zh-CN"/>
          <w14:textFill>
            <w14:solidFill>
              <w14:schemeClr w14:val="tx1"/>
            </w14:solidFill>
          </w14:textFill>
        </w:rPr>
        <w:t>六安市</w:t>
      </w:r>
      <w:r>
        <w:rPr>
          <w:rFonts w:ascii="Times New Roman" w:hAnsi="Times New Roman" w:eastAsia="仿宋_GB2312"/>
          <w:color w:val="000000" w:themeColor="text1"/>
          <w:sz w:val="32"/>
          <w:szCs w:val="32"/>
          <w:highlight w:val="none"/>
          <w:u w:val="single"/>
          <w:lang w:val="en"/>
          <w14:textFill>
            <w14:solidFill>
              <w14:schemeClr w14:val="tx1"/>
            </w14:solidFill>
          </w14:textFill>
        </w:rPr>
        <w:t>重点工程建设管理处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olor w:val="000000" w:themeColor="text1"/>
          <w:sz w:val="32"/>
          <w:szCs w:val="32"/>
          <w:highlight w:val="none"/>
          <w14:textFill>
            <w14:solidFill>
              <w14:schemeClr w14:val="tx1"/>
            </w14:solidFill>
          </w14:textFill>
        </w:rPr>
        <w:t>预算报表</w:t>
      </w:r>
      <w:r>
        <w:rPr>
          <w:rFonts w:ascii="Times New Roman" w:hAnsi="Times New Roman" w:eastAsia="仿宋_GB2312"/>
          <w:color w:val="000000" w:themeColor="text1"/>
          <w:sz w:val="32"/>
          <w:szCs w:val="32"/>
          <w:highlight w:val="none"/>
          <w14:textFill>
            <w14:solidFill>
              <w14:schemeClr w14:val="tx1"/>
            </w14:solidFill>
          </w14:textFill>
        </w:rPr>
        <w:t>（1</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olor w:val="000000" w:themeColor="text1"/>
          <w:sz w:val="32"/>
          <w:szCs w:val="32"/>
          <w:highlight w:val="none"/>
          <w14:textFill>
            <w14:solidFill>
              <w14:schemeClr w14:val="tx1"/>
            </w14:solidFill>
          </w14:textFill>
        </w:rPr>
        <w:t>张）</w:t>
      </w:r>
    </w:p>
    <w:p w14:paraId="7D04E398">
      <w:pPr>
        <w:spacing w:line="560" w:lineRule="exact"/>
        <w:ind w:firstLine="640" w:firstLineChars="200"/>
        <w:jc w:val="left"/>
        <w:rPr>
          <w:rFonts w:ascii="Times New Roman" w:hAnsi="Times New Roman" w:eastAsia="楷体"/>
          <w:color w:val="000000" w:themeColor="text1"/>
          <w:sz w:val="32"/>
          <w:szCs w:val="32"/>
          <w:highlight w:val="none"/>
          <w14:textFill>
            <w14:solidFill>
              <w14:schemeClr w14:val="tx1"/>
            </w14:solidFill>
          </w14:textFill>
        </w:rPr>
      </w:pPr>
    </w:p>
    <w:p w14:paraId="5C44D46E">
      <w:pPr>
        <w:spacing w:line="600" w:lineRule="exact"/>
        <w:rPr>
          <w:rFonts w:ascii="Times New Roman" w:hAnsi="Times New Roman" w:eastAsia="黑体"/>
          <w:color w:val="000000" w:themeColor="text1"/>
          <w:sz w:val="32"/>
          <w:szCs w:val="32"/>
          <w:highlight w:val="none"/>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14:paraId="02635B56">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14:paraId="2CD93D4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14:paraId="6339474A">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14:paraId="6380444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14:paraId="7C0D3277">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3216153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45B73"/>
    <w:multiLevelType w:val="singleLevel"/>
    <w:tmpl w:val="BFF45B73"/>
    <w:lvl w:ilvl="0" w:tentative="0">
      <w:start w:val="10"/>
      <w:numFmt w:val="chineseCounting"/>
      <w:suff w:val="nothing"/>
      <w:lvlText w:val="%1、"/>
      <w:lvlJc w:val="left"/>
      <w:rPr>
        <w:rFonts w:hint="eastAsia"/>
      </w:rPr>
    </w:lvl>
  </w:abstractNum>
  <w:abstractNum w:abstractNumId="1">
    <w:nsid w:val="CCFE518A"/>
    <w:multiLevelType w:val="singleLevel"/>
    <w:tmpl w:val="CCFE518A"/>
    <w:lvl w:ilvl="0" w:tentative="0">
      <w:start w:val="2"/>
      <w:numFmt w:val="decimal"/>
      <w:lvlText w:val="%1."/>
      <w:lvlJc w:val="left"/>
      <w:pPr>
        <w:tabs>
          <w:tab w:val="left" w:pos="312"/>
        </w:tabs>
      </w:pPr>
    </w:lvl>
  </w:abstractNum>
  <w:abstractNum w:abstractNumId="2">
    <w:nsid w:val="48F96C3E"/>
    <w:multiLevelType w:val="singleLevel"/>
    <w:tmpl w:val="48F96C3E"/>
    <w:lvl w:ilvl="0" w:tentative="0">
      <w:start w:val="3"/>
      <w:numFmt w:val="chineseCounting"/>
      <w:suff w:val="space"/>
      <w:lvlText w:val="第%1部分"/>
      <w:lvlJc w:val="left"/>
      <w:rPr>
        <w:rFonts w:hint="eastAsia"/>
      </w:rPr>
    </w:lvl>
  </w:abstractNum>
  <w:abstractNum w:abstractNumId="3">
    <w:nsid w:val="6CE2505F"/>
    <w:multiLevelType w:val="singleLevel"/>
    <w:tmpl w:val="6CE2505F"/>
    <w:lvl w:ilvl="0" w:tentative="0">
      <w:start w:val="13"/>
      <w:numFmt w:val="chineseCounting"/>
      <w:suff w:val="nothing"/>
      <w:lvlText w:val="%1、"/>
      <w:lvlJc w:val="left"/>
      <w:rPr>
        <w:rFonts w:hint="eastAsia"/>
      </w:rPr>
    </w:lvl>
  </w:abstractNum>
  <w:abstractNum w:abstractNumId="4">
    <w:nsid w:val="75FC7326"/>
    <w:multiLevelType w:val="singleLevel"/>
    <w:tmpl w:val="75FC7326"/>
    <w:lvl w:ilvl="0" w:tentative="0">
      <w:start w:val="1"/>
      <w:numFmt w:val="chineseCounting"/>
      <w:suff w:val="space"/>
      <w:lvlText w:val="第%1部分"/>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C"/>
    <w:rsid w:val="00000551"/>
    <w:rsid w:val="00001B94"/>
    <w:rsid w:val="0000535D"/>
    <w:rsid w:val="00007343"/>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3E3F"/>
    <w:rsid w:val="00154CC3"/>
    <w:rsid w:val="00155D64"/>
    <w:rsid w:val="001619E7"/>
    <w:rsid w:val="00162A76"/>
    <w:rsid w:val="0016317C"/>
    <w:rsid w:val="001641B7"/>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EA4"/>
    <w:rsid w:val="00393EAC"/>
    <w:rsid w:val="0039523D"/>
    <w:rsid w:val="00397356"/>
    <w:rsid w:val="003974EA"/>
    <w:rsid w:val="003A01AF"/>
    <w:rsid w:val="003A7E42"/>
    <w:rsid w:val="003B08D3"/>
    <w:rsid w:val="003B4530"/>
    <w:rsid w:val="003B4DB3"/>
    <w:rsid w:val="003B6188"/>
    <w:rsid w:val="003B6798"/>
    <w:rsid w:val="003B6938"/>
    <w:rsid w:val="003C0924"/>
    <w:rsid w:val="003C25D4"/>
    <w:rsid w:val="003C35C1"/>
    <w:rsid w:val="003C3A7F"/>
    <w:rsid w:val="003C5776"/>
    <w:rsid w:val="003C7A6E"/>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4670"/>
    <w:rsid w:val="00444EAB"/>
    <w:rsid w:val="00445341"/>
    <w:rsid w:val="00447ADE"/>
    <w:rsid w:val="00447F38"/>
    <w:rsid w:val="00455590"/>
    <w:rsid w:val="00456214"/>
    <w:rsid w:val="00456AC7"/>
    <w:rsid w:val="00456C6C"/>
    <w:rsid w:val="00457114"/>
    <w:rsid w:val="0046048F"/>
    <w:rsid w:val="004627ED"/>
    <w:rsid w:val="00462AAD"/>
    <w:rsid w:val="00464869"/>
    <w:rsid w:val="0046677D"/>
    <w:rsid w:val="00475B93"/>
    <w:rsid w:val="00480626"/>
    <w:rsid w:val="0048200B"/>
    <w:rsid w:val="00483F89"/>
    <w:rsid w:val="00486A1E"/>
    <w:rsid w:val="00487E71"/>
    <w:rsid w:val="00495005"/>
    <w:rsid w:val="0049629B"/>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712D2"/>
    <w:rsid w:val="0057378E"/>
    <w:rsid w:val="00574229"/>
    <w:rsid w:val="00574916"/>
    <w:rsid w:val="00584A45"/>
    <w:rsid w:val="00585CD7"/>
    <w:rsid w:val="0059007B"/>
    <w:rsid w:val="00590D40"/>
    <w:rsid w:val="00592332"/>
    <w:rsid w:val="00594575"/>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A4B"/>
    <w:rsid w:val="00617C87"/>
    <w:rsid w:val="00621FA9"/>
    <w:rsid w:val="00622F29"/>
    <w:rsid w:val="00624241"/>
    <w:rsid w:val="0062559B"/>
    <w:rsid w:val="006259C9"/>
    <w:rsid w:val="006266D5"/>
    <w:rsid w:val="00626DEE"/>
    <w:rsid w:val="0062761B"/>
    <w:rsid w:val="006279F7"/>
    <w:rsid w:val="00627FBE"/>
    <w:rsid w:val="0063427D"/>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90F99"/>
    <w:rsid w:val="0079104F"/>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28F3"/>
    <w:rsid w:val="0091300B"/>
    <w:rsid w:val="009148BA"/>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64"/>
    <w:rsid w:val="00FB3EAC"/>
    <w:rsid w:val="00FB6327"/>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DFA7BC0"/>
    <w:rsid w:val="10EF0D14"/>
    <w:rsid w:val="11685F36"/>
    <w:rsid w:val="11E228D3"/>
    <w:rsid w:val="12FB0E24"/>
    <w:rsid w:val="132F6D22"/>
    <w:rsid w:val="14E05AD6"/>
    <w:rsid w:val="1C3144E8"/>
    <w:rsid w:val="1DBFA013"/>
    <w:rsid w:val="1F5A57E2"/>
    <w:rsid w:val="21070C50"/>
    <w:rsid w:val="24A52A74"/>
    <w:rsid w:val="27BFA0EC"/>
    <w:rsid w:val="27E90ABF"/>
    <w:rsid w:val="2BFC2575"/>
    <w:rsid w:val="2E7E2CA7"/>
    <w:rsid w:val="2EC3135E"/>
    <w:rsid w:val="2F75150B"/>
    <w:rsid w:val="337DE186"/>
    <w:rsid w:val="33AE68D9"/>
    <w:rsid w:val="357D3547"/>
    <w:rsid w:val="3595356A"/>
    <w:rsid w:val="35C54AD7"/>
    <w:rsid w:val="37FC29DB"/>
    <w:rsid w:val="3A3E6C77"/>
    <w:rsid w:val="3C617D07"/>
    <w:rsid w:val="3E59580C"/>
    <w:rsid w:val="3FEFDCD2"/>
    <w:rsid w:val="3FFD9B4D"/>
    <w:rsid w:val="40AC7344"/>
    <w:rsid w:val="44782D86"/>
    <w:rsid w:val="46152870"/>
    <w:rsid w:val="4749647C"/>
    <w:rsid w:val="47975C19"/>
    <w:rsid w:val="493D0EE1"/>
    <w:rsid w:val="4A5C451E"/>
    <w:rsid w:val="4A6649BF"/>
    <w:rsid w:val="4AD873B8"/>
    <w:rsid w:val="4BD554F3"/>
    <w:rsid w:val="4BFEBED9"/>
    <w:rsid w:val="523A10B6"/>
    <w:rsid w:val="53300789"/>
    <w:rsid w:val="54012D25"/>
    <w:rsid w:val="58C95073"/>
    <w:rsid w:val="59E566C8"/>
    <w:rsid w:val="5A1457D2"/>
    <w:rsid w:val="5AFF097D"/>
    <w:rsid w:val="5BFC5FF7"/>
    <w:rsid w:val="5F8A64CA"/>
    <w:rsid w:val="625978FB"/>
    <w:rsid w:val="63706F37"/>
    <w:rsid w:val="63FFF254"/>
    <w:rsid w:val="6A1860EC"/>
    <w:rsid w:val="6AE516E2"/>
    <w:rsid w:val="6AEA5EDC"/>
    <w:rsid w:val="6E731356"/>
    <w:rsid w:val="6ED40555"/>
    <w:rsid w:val="6F3E4C16"/>
    <w:rsid w:val="70223303"/>
    <w:rsid w:val="709C31F1"/>
    <w:rsid w:val="742835D1"/>
    <w:rsid w:val="74420229"/>
    <w:rsid w:val="76FF3E9F"/>
    <w:rsid w:val="77DF8B5B"/>
    <w:rsid w:val="7878626E"/>
    <w:rsid w:val="7A154B23"/>
    <w:rsid w:val="7AAF1560"/>
    <w:rsid w:val="7BEE1670"/>
    <w:rsid w:val="7C2D7BD9"/>
    <w:rsid w:val="7CBDC657"/>
    <w:rsid w:val="7D5A7E61"/>
    <w:rsid w:val="7D9BC62B"/>
    <w:rsid w:val="7E61605D"/>
    <w:rsid w:val="7EE71416"/>
    <w:rsid w:val="7EE93836"/>
    <w:rsid w:val="7FAF168C"/>
    <w:rsid w:val="7FED9890"/>
    <w:rsid w:val="7FFF97F4"/>
    <w:rsid w:val="ABADA31D"/>
    <w:rsid w:val="BFF65231"/>
    <w:rsid w:val="BFFFF9D3"/>
    <w:rsid w:val="D4BB37B8"/>
    <w:rsid w:val="DCFFD52A"/>
    <w:rsid w:val="DDAE8751"/>
    <w:rsid w:val="EBEF9DF6"/>
    <w:rsid w:val="F3F9B799"/>
    <w:rsid w:val="F5FC22A4"/>
    <w:rsid w:val="FD7EADF0"/>
    <w:rsid w:val="FFF76A40"/>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rFonts w:ascii="Calibri" w:hAnsi="Calibri" w:eastAsia="宋体" w:cs="Times New Roman"/>
      <w:sz w:val="18"/>
      <w:szCs w:val="18"/>
    </w:rPr>
  </w:style>
  <w:style w:type="character" w:customStyle="1" w:styleId="10">
    <w:name w:val="页眉 Char"/>
    <w:basedOn w:val="8"/>
    <w:link w:val="4"/>
    <w:qFormat/>
    <w:uiPriority w:val="99"/>
    <w:rPr>
      <w:rFonts w:ascii="Calibri" w:hAnsi="Calibri" w:eastAsia="宋体" w:cs="Times New Roman"/>
      <w:sz w:val="18"/>
      <w:szCs w:val="18"/>
    </w:rPr>
  </w:style>
  <w:style w:type="character" w:customStyle="1" w:styleId="11">
    <w:name w:val="页脚 Char"/>
    <w:basedOn w:val="8"/>
    <w:link w:val="3"/>
    <w:qFormat/>
    <w:uiPriority w:val="99"/>
    <w:rPr>
      <w:rFonts w:ascii="Calibri" w:hAnsi="Calibri" w:eastAsia="宋体" w:cs="Times New Roman"/>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4671</Words>
  <Characters>5265</Characters>
  <Lines>72</Lines>
  <Paragraphs>20</Paragraphs>
  <TotalTime>1</TotalTime>
  <ScaleCrop>false</ScaleCrop>
  <LinksUpToDate>false</LinksUpToDate>
  <CharactersWithSpaces>5291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2021-01-28T07:29:00Z</dcterms:created>
  <dc:creator>夏敬周</dc:creator>
  <cp:lastModifiedBy>北岸的基洛夫熊</cp:lastModifiedBy>
  <cp:lastPrinted>2021-01-30T00:22:00Z</cp:lastPrinted>
  <dcterms:modified xsi:type="dcterms:W3CDTF">2025-08-01T00:35:27Z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5149E47A8A6A43B48045A4DF865745CE</vt:lpwstr>
  </property>
  <property fmtid="{D5CDD505-2E9C-101B-9397-08002B2CF9AE}" pid="4" name="KSOTemplateDocerSaveRecord">
    <vt:lpwstr>eyJoZGlkIjoiZWJmNDY1ZDI3N2Y0YWU0ZjcxZjRiY2I4NmQ4ZGM5ZmYiLCJ1c2VySWQiOiIyMDEwNjQ0MDgifQ==</vt:lpwstr>
  </property>
</Properties>
</file>